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240" w:lineRule="auto"/>
        <w:jc w:val="center"/>
        <w:rPr>
          <w:rFonts w:hint="default" w:ascii="Times New Roman" w:hAnsi="Times New Roman" w:eastAsia="华文行楷" w:cs="Times New Roman"/>
          <w:color w:val="FF0000"/>
          <w:kern w:val="0"/>
          <w:sz w:val="72"/>
          <w:szCs w:val="72"/>
          <w:lang w:val="en-US" w:eastAsia="zh-CN" w:bidi="ar-SA"/>
        </w:rPr>
      </w:pPr>
      <w:r>
        <w:rPr>
          <w:rFonts w:hint="default" w:ascii="Times New Roman" w:hAnsi="Times New Roman" w:eastAsia="华文行楷" w:cs="Times New Roman"/>
          <w:color w:val="FF0000"/>
          <w:kern w:val="0"/>
          <w:sz w:val="72"/>
          <w:szCs w:val="72"/>
          <w:lang w:val="en-US" w:eastAsia="zh-CN" w:bidi="ar-SA"/>
        </w:rPr>
        <w:t>质量工作简报</w:t>
      </w:r>
    </w:p>
    <w:p>
      <w:pPr>
        <w:spacing w:line="600" w:lineRule="exact"/>
        <w:ind w:left="-37" w:leftChars="-136" w:hanging="249" w:hangingChars="89"/>
        <w:jc w:val="left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 xml:space="preserve">2020年10月30日                                </w:t>
      </w:r>
      <w:r>
        <w:rPr>
          <w:rFonts w:hint="default" w:ascii="Times New Roman" w:hAnsi="Times New Roman" w:eastAsia="FangSong_GB2312" w:cs="Times New Roman"/>
          <w:i w:val="0"/>
          <w:caps w:val="0"/>
          <w:color w:val="333333"/>
          <w:spacing w:val="0"/>
          <w:sz w:val="28"/>
          <w:szCs w:val="28"/>
        </w:rPr>
        <w:t>2020年第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FangSong_GB2312" w:cs="Times New Roman"/>
          <w:i w:val="0"/>
          <w:caps w:val="0"/>
          <w:color w:val="333333"/>
          <w:spacing w:val="0"/>
          <w:sz w:val="28"/>
          <w:szCs w:val="28"/>
        </w:rPr>
        <w:t>期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       </w:t>
      </w:r>
    </w:p>
    <w:p>
      <w:pPr>
        <w:spacing w:line="240" w:lineRule="auto"/>
        <w:jc w:val="center"/>
        <w:rPr>
          <w:rFonts w:hint="default" w:ascii="Times New Roman" w:hAnsi="Times New Roman" w:eastAsia="微软雅黑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书宋简体" w:cs="Times New Roman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147320</wp:posOffset>
                </wp:positionV>
                <wp:extent cx="5723890" cy="0"/>
                <wp:effectExtent l="0" t="19050" r="10160" b="19050"/>
                <wp:wrapNone/>
                <wp:docPr id="7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1.45pt;margin-top:11.6pt;height:0pt;width:450.7pt;z-index:251679744;mso-width-relative:page;mso-height-relative:page;" filled="f" stroked="t" coordsize="21600,21600" o:allowincell="f" o:gfxdata="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ADAHXbAAAACQEAAA8AAAAAAAAAAQAg&#10;AAAAIgAAAGRycy9kb3ducmV2LnhtbFBLAQIUABQAAAAIAIdO4kDHphv60gEAAI8DAAAOAAAAAAAA&#10;AAEAIAAAACoBAABkcnMvZTJvRG9jLnhtbFBLBQYAAAAABgAGAFkBAABu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ind w:left="1058" w:leftChars="504" w:right="1165" w:rightChars="555" w:firstLine="0" w:firstLineChars="0"/>
        <w:jc w:val="center"/>
        <w:outlineLvl w:val="0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_Toc97"/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我校举行学习贯彻贵州省“职教二十条”</w:t>
      </w:r>
      <w:bookmarkStart w:id="1" w:name="_Toc20490"/>
      <w:bookmarkStart w:id="2" w:name="_Toc26439"/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精神宣讲报告会</w:t>
      </w:r>
      <w:bookmarkEnd w:id="0"/>
      <w:bookmarkEnd w:id="1"/>
      <w:bookmarkEnd w:id="2"/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10月29日下午，贵州省教育厅党组成员、一级巡视员（正厅级）鞠洪到我校时光校区音乐厅作贵州省“职教二十条”精神宣讲报告会。党委书记张曦，党委副书记、校长贺永琴，副校长李炳昌出席。报告会由贺永琴主持。</w:t>
      </w:r>
    </w:p>
    <w:p>
      <w:pPr>
        <w:ind w:left="-4" w:leftChars="-200" w:right="-733" w:rightChars="-349" w:hanging="416" w:hangingChars="13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drawing>
          <wp:inline distT="0" distB="0" distL="114300" distR="114300">
            <wp:extent cx="2830830" cy="1942465"/>
            <wp:effectExtent l="0" t="0" r="7620" b="635"/>
            <wp:docPr id="74" name="图片 7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drawing>
          <wp:inline distT="0" distB="0" distL="114300" distR="114300">
            <wp:extent cx="2914015" cy="1943735"/>
            <wp:effectExtent l="0" t="0" r="635" b="18415"/>
            <wp:docPr id="75" name="图片 7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2" w:firstLineChars="200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报告会现场（右图为党委书记张曦，党委副书记、校长贺永琴）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鞠洪以“学习贯彻贵州省职教二十条精神”为主题，围绕省政府印发《关于贵州省支持职业教育发展的若干措施》，从目标明确、任务具体、政策新颖、保障有力四个方面进行了详细解读，重点针对建设贵州特色职业教育强省，完善现代职业教育体系及资源布局，优化职业院校改革发展环境，调整专业结构，探索本科招生试点，鼓励职业院校教师和企业技术人员兼职兼薪双向取酬，实施三大工程和三大计划，健全职业教育发展保障四大机制等进行了全面解析。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drawing>
          <wp:inline distT="0" distB="0" distL="114300" distR="114300">
            <wp:extent cx="5121275" cy="3415665"/>
            <wp:effectExtent l="0" t="0" r="3175" b="13335"/>
            <wp:docPr id="76" name="图片 76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鞠洪发言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贺永琴作总结发言，表示鞠洪巡视员深入解读“贵州省职教二十条”对我校意义重大，特别是在学校全力建设贵州省“双高”院校、进行“十四五”规划的关键时刻，为学校进一步明确未来发展的定位、思路，送来了指路的明灯。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drawing>
          <wp:inline distT="0" distB="0" distL="114300" distR="114300">
            <wp:extent cx="4603115" cy="3069590"/>
            <wp:effectExtent l="0" t="0" r="6985" b="16510"/>
            <wp:docPr id="77" name="图片 77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306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贺永琴作总结发言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我们要结合学校实际和未来的发展规划，以及我们自身的岗位，来进一步学习和深刻领会职教二十条精神，为谋划“十四五”规划做准备，同时为更好的推动职业教育发展，推动学校的高质量发展，做出我们学校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>全体教职员工以及学生代表参加报告会。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eastAsia="FangSong_GB2312" w:cs="Times New Roman"/>
          <w:b w:val="0"/>
          <w:bCs w:val="0"/>
          <w:sz w:val="28"/>
          <w:szCs w:val="28"/>
          <w:lang w:val="en-US" w:eastAsia="zh-CN"/>
        </w:rPr>
        <w:t>撰稿：宣传部</w:t>
      </w: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  <w:bookmarkStart w:id="3" w:name="_GoBack"/>
      <w:bookmarkEnd w:id="3"/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43D9"/>
    <w:rsid w:val="33E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2021-04-27T02:07:00Z</dcterms:created>
  <dc:creator>innocent❄</dc:creator>
  <cp:lastModifiedBy>innocent❄</cp:lastModifiedBy>
  <dcterms:modified xsi:type="dcterms:W3CDTF">2021-04-27T02:08:33Z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