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FF0000"/>
          <w:spacing w:val="-20"/>
          <w:w w:val="66"/>
          <w:sz w:val="72"/>
          <w:szCs w:val="72"/>
          <w:lang w:val="en-US" w:eastAsia="zh-CN"/>
        </w:rPr>
      </w:pPr>
      <w:r>
        <w:rPr>
          <w:rFonts w:hint="default" w:ascii="Times New Roman" w:hAnsi="Times New Roman" w:eastAsia="方正小标宋简体" w:cs="Times New Roman"/>
          <w:color w:val="FF0000"/>
          <w:spacing w:val="-20"/>
          <w:w w:val="66"/>
          <w:sz w:val="72"/>
          <w:szCs w:val="72"/>
        </w:rPr>
        <w:t>贵阳幼儿师范高等专科学校</w:t>
      </w:r>
      <w:r>
        <w:rPr>
          <w:rFonts w:hint="default" w:ascii="Times New Roman" w:hAnsi="Times New Roman" w:eastAsia="方正小标宋简体" w:cs="Times New Roman"/>
          <w:color w:val="FF0000"/>
          <w:spacing w:val="-20"/>
          <w:w w:val="66"/>
          <w:sz w:val="72"/>
          <w:szCs w:val="72"/>
          <w:lang w:val="en-US" w:eastAsia="zh-CN"/>
        </w:rPr>
        <w:t>质量保证中心</w:t>
      </w:r>
    </w:p>
    <w:p>
      <w:pPr>
        <w:widowControl/>
        <w:spacing w:beforeAutospacing="1" w:afterAutospacing="1" w:line="240" w:lineRule="auto"/>
        <w:jc w:val="center"/>
        <w:rPr>
          <w:rFonts w:hint="default" w:ascii="Times New Roman" w:hAnsi="Times New Roman" w:eastAsia="宋体" w:cs="Times New Roman"/>
          <w:color w:val="FF0000"/>
          <w:kern w:val="0"/>
          <w:sz w:val="72"/>
          <w:szCs w:val="72"/>
          <w:lang w:val="en-US" w:eastAsia="zh-CN" w:bidi="ar-SA"/>
        </w:rPr>
      </w:pPr>
      <w:r>
        <w:rPr>
          <w:rFonts w:hint="default" w:ascii="Times New Roman" w:hAnsi="Times New Roman" w:eastAsia="华文行楷" w:cs="Times New Roman"/>
          <w:color w:val="FF0000"/>
          <w:kern w:val="0"/>
          <w:sz w:val="72"/>
          <w:szCs w:val="72"/>
          <w:lang w:val="en-US" w:eastAsia="zh-CN" w:bidi="ar-SA"/>
        </w:rPr>
        <w:t>质量工作简报</w:t>
      </w:r>
      <w:r>
        <w:rPr>
          <w:rFonts w:hint="default" w:ascii="Times New Roman" w:hAnsi="Times New Roman" w:eastAsia="宋体" w:cs="Times New Roman"/>
          <w:color w:val="333333"/>
          <w:kern w:val="0"/>
          <w:sz w:val="30"/>
          <w:szCs w:val="30"/>
          <w:lang w:val="en-US" w:eastAsia="zh-CN" w:bidi="ar-SA"/>
        </w:rPr>
        <w:t xml:space="preserve">  </w:t>
      </w:r>
      <w:bookmarkStart w:id="1" w:name="_GoBack"/>
      <w:bookmarkEnd w:id="1"/>
    </w:p>
    <w:p>
      <w:pPr>
        <w:spacing w:line="600" w:lineRule="exact"/>
        <w:ind w:left="-37" w:leftChars="-136" w:hanging="249" w:hangingChars="89"/>
        <w:jc w:val="left"/>
        <w:rPr>
          <w:rFonts w:hint="default" w:ascii="Times New Roman" w:hAnsi="Times New Roman" w:eastAsia="FangSong_GB2312" w:cs="Times New Roman"/>
          <w:sz w:val="32"/>
          <w:szCs w:val="32"/>
        </w:rPr>
      </w:pPr>
      <w:r>
        <w:rPr>
          <w:rFonts w:hint="default" w:ascii="Times New Roman" w:hAnsi="Times New Roman" w:eastAsia="FangSong_GB2312" w:cs="Times New Roman"/>
          <w:sz w:val="28"/>
          <w:szCs w:val="28"/>
          <w:lang w:val="en-US" w:eastAsia="zh-CN"/>
        </w:rPr>
        <w:t xml:space="preserve">2020年11月24日                               </w:t>
      </w:r>
      <w:r>
        <w:rPr>
          <w:rFonts w:hint="default" w:ascii="Times New Roman" w:hAnsi="Times New Roman" w:eastAsia="FangSong_GB2312" w:cs="Times New Roman"/>
          <w:i w:val="0"/>
          <w:caps w:val="0"/>
          <w:color w:val="333333"/>
          <w:spacing w:val="0"/>
          <w:sz w:val="28"/>
          <w:szCs w:val="28"/>
        </w:rPr>
        <w:t>2020年第</w:t>
      </w:r>
      <w:r>
        <w:rPr>
          <w:rFonts w:hint="default" w:ascii="Times New Roman" w:hAnsi="Times New Roman" w:eastAsia="宋体" w:cs="Times New Roman"/>
          <w:i w:val="0"/>
          <w:caps w:val="0"/>
          <w:color w:val="333333"/>
          <w:spacing w:val="0"/>
          <w:sz w:val="28"/>
          <w:szCs w:val="28"/>
          <w:lang w:val="en-US" w:eastAsia="zh-CN"/>
        </w:rPr>
        <w:t>21</w:t>
      </w:r>
      <w:r>
        <w:rPr>
          <w:rFonts w:hint="default" w:ascii="Times New Roman" w:hAnsi="Times New Roman" w:eastAsia="FangSong_GB2312" w:cs="Times New Roman"/>
          <w:i w:val="0"/>
          <w:caps w:val="0"/>
          <w:color w:val="333333"/>
          <w:spacing w:val="0"/>
          <w:sz w:val="28"/>
          <w:szCs w:val="28"/>
        </w:rPr>
        <w:t>期</w:t>
      </w:r>
      <w:r>
        <w:rPr>
          <w:rFonts w:hint="default" w:ascii="Times New Roman" w:hAnsi="Times New Roman" w:eastAsia="FangSong_GB2312" w:cs="Times New Roman"/>
          <w:sz w:val="32"/>
          <w:szCs w:val="32"/>
        </w:rPr>
        <w:t xml:space="preserve">       </w:t>
      </w:r>
    </w:p>
    <w:p>
      <w:pPr>
        <w:ind w:right="-477" w:rightChars="-227"/>
        <w:jc w:val="center"/>
        <w:rPr>
          <w:rFonts w:hint="default" w:ascii="Times New Roman" w:hAnsi="Times New Roman" w:eastAsia="方正书宋简体" w:cs="Times New Roman"/>
          <w:b/>
          <w:bCs/>
          <w:sz w:val="36"/>
          <w:szCs w:val="36"/>
        </w:rPr>
      </w:pPr>
      <w:r>
        <w:rPr>
          <w:rFonts w:hint="default" w:ascii="Times New Roman" w:hAnsi="Times New Roman" w:eastAsia="方正书宋简体" w:cs="Times New Roman"/>
          <w:b/>
          <w:bCs/>
          <w:sz w:val="36"/>
          <w:szCs w:val="36"/>
        </w:rPr>
        <mc:AlternateContent>
          <mc:Choice Requires="wps">
            <w:drawing>
              <wp:anchor distT="0" distB="0" distL="114300" distR="114300" simplePos="0" relativeHeight="251682816" behindDoc="0" locked="0" layoutInCell="0" allowOverlap="1">
                <wp:simplePos x="0" y="0"/>
                <wp:positionH relativeFrom="column">
                  <wp:posOffset>-215265</wp:posOffset>
                </wp:positionH>
                <wp:positionV relativeFrom="paragraph">
                  <wp:posOffset>111125</wp:posOffset>
                </wp:positionV>
                <wp:extent cx="5723890" cy="0"/>
                <wp:effectExtent l="0" t="19050" r="10160" b="19050"/>
                <wp:wrapNone/>
                <wp:docPr id="86" name="直线 2"/>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6.95pt;margin-top:8.75pt;height:0pt;width:450.7pt;z-index:251682816;mso-width-relative:page;mso-height-relative:page;" filled="f" stroked="t" coordsize="21600,21600" o:allowincell="f" o:gfxdata="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CPPe2gAAAAkBAAAPAAAAAAAAAAEAIAAA&#10;ACIAAABkcnMvZG93bnJldi54bWxQSwECFAAUAAAACACHTuJAIm5J+9EBAACPAwAADgAAAAAAAAAB&#10;ACAAAAApAQAAZHJzL2Uyb0RvYy54bWxQSwUGAAAAAAYABgBZAQAAbAUAAAAA&#10;">
                <v:fill on="f" focussize="0,0"/>
                <v:stroke weight="3pt" color="#FF0000" joinstyle="round"/>
                <v:imagedata o:title=""/>
                <o:lock v:ext="edit" aspectratio="f"/>
              </v:line>
            </w:pict>
          </mc:Fallback>
        </mc:AlternateContent>
      </w:r>
    </w:p>
    <w:p>
      <w:pPr>
        <w:spacing w:line="360" w:lineRule="auto"/>
        <w:ind w:left="0" w:leftChars="0" w:firstLine="0" w:firstLineChars="0"/>
        <w:jc w:val="center"/>
        <w:outlineLvl w:val="0"/>
        <w:rPr>
          <w:rFonts w:hint="default" w:ascii="Times New Roman" w:hAnsi="Times New Roman" w:eastAsia="微软雅黑" w:cs="Times New Roman"/>
          <w:b w:val="0"/>
          <w:bCs w:val="0"/>
          <w:i w:val="0"/>
          <w:caps w:val="0"/>
          <w:color w:val="000000"/>
          <w:spacing w:val="0"/>
          <w:sz w:val="36"/>
          <w:szCs w:val="36"/>
          <w:lang w:val="en-US" w:eastAsia="zh-CN"/>
        </w:rPr>
      </w:pPr>
      <w:bookmarkStart w:id="0" w:name="_Toc5966"/>
      <w:r>
        <w:rPr>
          <w:rFonts w:hint="default" w:ascii="Times New Roman" w:hAnsi="Times New Roman" w:eastAsia="微软雅黑" w:cs="Times New Roman"/>
          <w:b w:val="0"/>
          <w:bCs w:val="0"/>
          <w:i w:val="0"/>
          <w:caps w:val="0"/>
          <w:color w:val="000000"/>
          <w:spacing w:val="0"/>
          <w:sz w:val="36"/>
          <w:szCs w:val="36"/>
          <w:lang w:val="en-US" w:eastAsia="zh-CN"/>
        </w:rPr>
        <w:t>申报省级“双高计划”答辩阶段研讨会</w:t>
      </w:r>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FangSong_GB2312" w:cs="Times New Roman"/>
          <w:b w:val="0"/>
          <w:bCs w:val="0"/>
          <w:sz w:val="28"/>
          <w:szCs w:val="28"/>
          <w:lang w:val="en-US" w:eastAsia="zh-CN"/>
        </w:rPr>
        <w:t>为了更好地迎接即将到来的省级“双高计划”申报答辩会，充分地做好准备工作，我校质量保证中心于11月23日下午主持召开了“申报省级‘双高计划’答辩阶段研讨会”。党委副书记李炳昌、党委委员张世琴以及副校长翟理红出席会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b w:val="0"/>
          <w:bCs w:val="0"/>
          <w:sz w:val="28"/>
          <w:szCs w:val="28"/>
          <w:lang w:val="en-US" w:eastAsia="zh-CN"/>
        </w:rPr>
      </w:pPr>
      <w:r>
        <w:rPr>
          <w:rFonts w:hint="default" w:ascii="Times New Roman" w:hAnsi="Times New Roman" w:eastAsia="FangSong_GB2312" w:cs="Times New Roman"/>
          <w:b w:val="0"/>
          <w:bCs w:val="0"/>
          <w:sz w:val="28"/>
          <w:szCs w:val="28"/>
          <w:lang w:val="en-US" w:eastAsia="zh-CN"/>
        </w:rPr>
        <w:t>首先，由质量保证中心主任孙立枫老师就我校的“双高”申报答辩PPT进行了模拟汇报。模拟汇报之后，参会人员就汇报的内容、组织形式、汇报方式等方面进行讨论，并提出建议。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b w:val="0"/>
          <w:bCs w:val="0"/>
          <w:sz w:val="28"/>
          <w:szCs w:val="28"/>
          <w:lang w:val="en-US" w:eastAsia="zh-CN"/>
        </w:rPr>
      </w:pPr>
      <w:r>
        <w:rPr>
          <w:rFonts w:hint="default" w:ascii="Times New Roman" w:hAnsi="Times New Roman" w:eastAsia="FangSong_GB2312" w:cs="Times New Roman"/>
          <w:b w:val="0"/>
          <w:bCs w:val="0"/>
          <w:sz w:val="28"/>
          <w:szCs w:val="28"/>
          <w:lang w:val="en-US" w:eastAsia="zh-CN"/>
        </w:rPr>
        <w:t>副校长翟理红在听取了孙立枫老师的汇报内容之后，提出了众多意见。她指出，我们在建设“双高”的过程中，一定要加强对国家相关政策及文件的学习。要发挥党组织在学校的领导核心和政治核心，结合我校“三支队伍”、“两个课堂”的大思政体系来不断提高党的思想引领力。翟理红在发言中强调，“双高计划”既需开拓思路、用于创新，也要脚踏实地、保证方案落地执行。</w:t>
      </w:r>
      <w:r>
        <w:rPr>
          <w:rFonts w:hint="default" w:ascii="Times New Roman" w:hAnsi="Times New Roman" w:eastAsia="宋体" w:cs="Times New Roman"/>
          <w:b w:val="0"/>
          <w:bCs w:val="0"/>
          <w:sz w:val="28"/>
          <w:szCs w:val="28"/>
          <w:lang w:val="en-US" w:eastAsia="zh-CN"/>
        </w:rPr>
        <w:t>对人才工程的理解</w:t>
      </w:r>
      <w:r>
        <w:rPr>
          <w:rFonts w:hint="default" w:ascii="Times New Roman" w:hAnsi="Times New Roman" w:eastAsia="FangSong_GB2312" w:cs="Times New Roman"/>
          <w:b w:val="0"/>
          <w:bCs w:val="0"/>
          <w:sz w:val="28"/>
          <w:szCs w:val="28"/>
          <w:lang w:val="en-US" w:eastAsia="zh-CN"/>
        </w:rPr>
        <w:t>，不要局限于双师队伍建设；提升学校治理水平，不仅要通过双院协同来提升治理水平，还需要行业、企业的参与，在校企合作、融合的层面上，来共同建设“双高”学校。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b w:val="0"/>
          <w:bCs w:val="0"/>
          <w:sz w:val="28"/>
          <w:szCs w:val="28"/>
          <w:lang w:val="en-US" w:eastAsia="zh-CN"/>
        </w:rPr>
      </w:pPr>
      <w:r>
        <w:rPr>
          <w:rFonts w:hint="default" w:ascii="Times New Roman" w:hAnsi="Times New Roman" w:eastAsia="FangSong_GB2312" w:cs="Times New Roman"/>
          <w:b w:val="0"/>
          <w:bCs w:val="0"/>
          <w:sz w:val="28"/>
          <w:szCs w:val="28"/>
          <w:lang w:val="en-US" w:eastAsia="zh-CN"/>
        </w:rPr>
        <w:t>会议就书院制内容进行了深入研讨。党委委员张世琴提出，书院制的建设思路和方案我们已经有了，但是具体的落地政策还需要再打磨。同时，能够支持、匹配“书院制”的组织架构、政策保障和制度也需要抓紧完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b w:val="0"/>
          <w:bCs w:val="0"/>
          <w:sz w:val="28"/>
          <w:szCs w:val="28"/>
          <w:lang w:val="en-US" w:eastAsia="zh-CN"/>
        </w:rPr>
      </w:pPr>
      <w:r>
        <w:rPr>
          <w:rFonts w:hint="default" w:ascii="Times New Roman" w:hAnsi="Times New Roman" w:eastAsia="FangSong_GB2312" w:cs="Times New Roman"/>
          <w:b w:val="0"/>
          <w:bCs w:val="0"/>
          <w:sz w:val="28"/>
          <w:szCs w:val="28"/>
          <w:lang w:val="en-US" w:eastAsia="zh-CN"/>
        </w:rPr>
        <w:t>党委副书记李炳昌强调，书院制应该要围绕国家对人才培养的政治目标、思想目标、成长目标来做工作。李书记阐述了现有系部架构的重要性，并且强调要做好书院制，完善组织架构是当务之急；李书记同时指出，书院要往思想育人、成长育人、文化育人方向探索，我校在对书院制的人员组织、职能细分上还需要继续深入探讨，促进分工精细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b w:val="0"/>
          <w:bCs w:val="0"/>
          <w:sz w:val="28"/>
          <w:szCs w:val="28"/>
          <w:lang w:val="en-US" w:eastAsia="zh-CN"/>
        </w:rPr>
      </w:pPr>
      <w:r>
        <w:rPr>
          <w:rFonts w:hint="default" w:ascii="Times New Roman" w:hAnsi="Times New Roman" w:eastAsia="FangSong_GB2312" w:cs="Times New Roman"/>
          <w:b w:val="0"/>
          <w:bCs w:val="0"/>
          <w:sz w:val="28"/>
          <w:szCs w:val="28"/>
          <w:lang w:val="en-US" w:eastAsia="zh-CN"/>
        </w:rPr>
        <w:t>之后，学前教育专业负责人赵俊以及老年服务与管理专业群负责人车荧分别就两个专业群的答辩PPT进行了模拟汇报。汇报之后大家就两个汇报内容的的表述方式、措辞等方面提供建议。两个专业群的汇报在内容方面都还需要继续做调整。要保证汇报能在规定时间内，用更加适当的语速、情感将汇报内容完整地呈现出来。为了达</w:t>
      </w:r>
      <w:r>
        <w:rPr>
          <w:rFonts w:hint="default" w:ascii="Times New Roman" w:hAnsi="Times New Roman" w:eastAsia="宋体" w:cs="Times New Roman"/>
          <w:b w:val="0"/>
          <w:bCs w:val="0"/>
          <w:sz w:val="28"/>
          <w:szCs w:val="28"/>
          <w:lang w:val="en-US" w:eastAsia="zh-CN"/>
        </w:rPr>
        <w:t>成</w:t>
      </w:r>
      <w:r>
        <w:rPr>
          <w:rFonts w:hint="default" w:ascii="Times New Roman" w:hAnsi="Times New Roman" w:eastAsia="FangSong_GB2312" w:cs="Times New Roman"/>
          <w:b w:val="0"/>
          <w:bCs w:val="0"/>
          <w:sz w:val="28"/>
          <w:szCs w:val="28"/>
          <w:lang w:val="en-US" w:eastAsia="zh-CN"/>
        </w:rPr>
        <w:t>这样的目标，两个专业群的汇报内容和汇报形式还需再做调整。此次的研讨会对打磨优化我校的“双高”答辩汇报起到了积极的推动作用，全体教职工将为迎接“双高”答辩做好充分的准备。</w:t>
      </w:r>
    </w:p>
    <w:p>
      <w:pPr>
        <w:numPr>
          <w:ilvl w:val="0"/>
          <w:numId w:val="0"/>
        </w:numPr>
        <w:spacing w:line="480" w:lineRule="auto"/>
        <w:ind w:firstLine="560" w:firstLineChars="200"/>
        <w:jc w:val="center"/>
        <w:rPr>
          <w:rFonts w:hint="default" w:ascii="Times New Roman" w:hAnsi="Times New Roman" w:eastAsia="FangSong_GB2312" w:cs="Times New Roman"/>
          <w:i w:val="0"/>
          <w:caps w:val="0"/>
          <w:color w:val="191919"/>
          <w:spacing w:val="0"/>
          <w:sz w:val="28"/>
          <w:szCs w:val="28"/>
          <w:shd w:val="clear" w:fill="FFFFFF"/>
          <w:lang w:val="en-US" w:eastAsia="zh-CN"/>
        </w:rPr>
      </w:pPr>
    </w:p>
    <w:p>
      <w:pPr>
        <w:numPr>
          <w:ilvl w:val="0"/>
          <w:numId w:val="0"/>
        </w:numPr>
        <w:spacing w:line="360" w:lineRule="auto"/>
        <w:jc w:val="both"/>
        <w:rPr>
          <w:rFonts w:hint="default" w:ascii="Times New Roman" w:hAnsi="Times New Roman" w:eastAsia="FangSong_GB2312" w:cs="Times New Roman"/>
          <w:b w:val="0"/>
          <w:bCs w:val="0"/>
          <w:sz w:val="28"/>
          <w:szCs w:val="28"/>
          <w:lang w:val="en-US" w:eastAsia="zh-CN"/>
        </w:rPr>
      </w:pPr>
      <w:r>
        <w:rPr>
          <w:rFonts w:hint="default" w:ascii="Times New Roman" w:hAnsi="Times New Roman" w:eastAsia="FangSong_GB2312" w:cs="Times New Roman"/>
          <w:b w:val="0"/>
          <w:bCs w:val="0"/>
          <w:sz w:val="28"/>
          <w:szCs w:val="28"/>
          <w:lang w:val="en-US" w:eastAsia="zh-CN"/>
        </w:rPr>
        <w:t>撰稿：杨雪</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64EBCC42-7F43-4EE3-99F0-2CE9E2A50345}"/>
  </w:font>
  <w:font w:name="华文行楷">
    <w:panose1 w:val="02010800040101010101"/>
    <w:charset w:val="86"/>
    <w:family w:val="auto"/>
    <w:pitch w:val="default"/>
    <w:sig w:usb0="00000001" w:usb1="080F0000" w:usb2="00000000" w:usb3="00000000" w:csb0="00040000" w:csb1="00000000"/>
    <w:embedRegular r:id="rId2" w:fontKey="{09F0EBFB-C7AE-4A46-836E-384DC3661621}"/>
  </w:font>
  <w:font w:name="FangSong_GB2312">
    <w:altName w:val="仿宋"/>
    <w:panose1 w:val="02010609030101010101"/>
    <w:charset w:val="86"/>
    <w:family w:val="modern"/>
    <w:pitch w:val="default"/>
    <w:sig w:usb0="00000000" w:usb1="00000000" w:usb2="00000000" w:usb3="00000000" w:csb0="00040000" w:csb1="00000000"/>
    <w:embedRegular r:id="rId3" w:fontKey="{1F144141-D6A3-40F5-8C89-05E6315888C7}"/>
  </w:font>
  <w:font w:name="方正书宋简体">
    <w:panose1 w:val="02000000000000000000"/>
    <w:charset w:val="86"/>
    <w:family w:val="auto"/>
    <w:pitch w:val="default"/>
    <w:sig w:usb0="00000000" w:usb1="00000000" w:usb2="00000000" w:usb3="00000000" w:csb0="00000000" w:csb1="00000000"/>
    <w:embedRegular r:id="rId4" w:fontKey="{C15238BE-B48E-4D61-9979-6269785EBD97}"/>
  </w:font>
  <w:font w:name="微软雅黑">
    <w:panose1 w:val="020B0503020204020204"/>
    <w:charset w:val="86"/>
    <w:family w:val="auto"/>
    <w:pitch w:val="default"/>
    <w:sig w:usb0="80000287" w:usb1="280F3C52" w:usb2="00000016" w:usb3="00000000" w:csb0="0004001F" w:csb1="00000000"/>
    <w:embedRegular r:id="rId5" w:fontKey="{336F74AE-D9E1-43D8-B153-5A0C489A8B8C}"/>
  </w:font>
  <w:font w:name="方正仿宋_GB2312">
    <w:panose1 w:val="02000000000000000000"/>
    <w:charset w:val="86"/>
    <w:family w:val="auto"/>
    <w:pitch w:val="default"/>
    <w:sig w:usb0="A00002BF" w:usb1="184F6CFA" w:usb2="00000012" w:usb3="00000000" w:csb0="00040001" w:csb1="00000000"/>
    <w:embedRegular r:id="rId6" w:fontKey="{A69DA389-046F-41D5-BA0A-D64652CADA6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0347D"/>
    <w:rsid w:val="2210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left="420" w:leftChars="200"/>
    </w:pPr>
  </w:style>
  <w:style w:type="paragraph" w:styleId="3">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2021-04-27T02:10:00Z</dcterms:created>
  <dc:creator>innocent❄</dc:creator>
  <cp:lastModifiedBy>innocent❄</cp:lastModifiedBy>
  <dcterms:modified xsi:type="dcterms:W3CDTF">2021-04-27T02:11:38Z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