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FZXiaoBiaoSong-B05S" w:cs="Times New Roman"/>
          <w:color w:val="FF0000"/>
          <w:spacing w:val="-20"/>
          <w:w w:val="66"/>
          <w:sz w:val="72"/>
          <w:szCs w:val="72"/>
        </w:rPr>
      </w:pPr>
      <w:r>
        <w:rPr>
          <w:rFonts w:ascii="Times New Roman" w:hAnsi="Times New Roman" w:eastAsia="FZXiaoBiaoSong-B05S" w:cs="Times New Roman"/>
          <w:color w:val="FF0000"/>
          <w:spacing w:val="-20"/>
          <w:w w:val="66"/>
          <w:sz w:val="72"/>
          <w:szCs w:val="72"/>
        </w:rPr>
        <w:t>贵阳幼儿师范高等专科学校质量保证中心</w:t>
      </w:r>
    </w:p>
    <w:p>
      <w:pPr>
        <w:widowControl/>
        <w:spacing w:beforeAutospacing="1" w:afterAutospacing="1"/>
        <w:jc w:val="center"/>
        <w:rPr>
          <w:rFonts w:ascii="Times New Roman" w:hAnsi="Times New Roman" w:eastAsia="宋体" w:cs="Times New Roman"/>
          <w:color w:val="FF0000"/>
          <w:kern w:val="0"/>
          <w:sz w:val="72"/>
          <w:szCs w:val="72"/>
        </w:rPr>
      </w:pPr>
      <w:r>
        <w:rPr>
          <w:rFonts w:ascii="Times New Roman" w:hAnsi="Times New Roman" w:eastAsia="华文行楷" w:cs="Times New Roman"/>
          <w:color w:val="FF0000"/>
          <w:kern w:val="0"/>
          <w:sz w:val="72"/>
          <w:szCs w:val="72"/>
        </w:rPr>
        <w:t>质量工作简报</w:t>
      </w: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 xml:space="preserve">  </w:t>
      </w:r>
    </w:p>
    <w:p>
      <w:pPr>
        <w:spacing w:line="600" w:lineRule="exact"/>
        <w:ind w:left="-37" w:leftChars="-136" w:hanging="249" w:hangingChars="89"/>
        <w:jc w:val="left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202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1</w:t>
      </w:r>
      <w:r>
        <w:rPr>
          <w:rFonts w:ascii="Times New Roman" w:hAnsi="Times New Roman" w:eastAsia="FangSong_GB2312" w:cs="Times New Roman"/>
          <w:sz w:val="28"/>
          <w:szCs w:val="28"/>
        </w:rPr>
        <w:t>年1月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11</w:t>
      </w:r>
      <w:r>
        <w:rPr>
          <w:rFonts w:ascii="Times New Roman" w:hAnsi="Times New Roman" w:eastAsia="FangSong_GB2312" w:cs="Times New Roman"/>
          <w:sz w:val="28"/>
          <w:szCs w:val="28"/>
        </w:rPr>
        <w:t xml:space="preserve">日                               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color w:val="333333"/>
          <w:sz w:val="28"/>
          <w:szCs w:val="28"/>
        </w:rPr>
        <w:t>1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年第01期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     </w:t>
      </w:r>
    </w:p>
    <w:p>
      <w:pPr>
        <w:ind w:right="-477" w:rightChars="-227"/>
        <w:jc w:val="center"/>
        <w:rPr>
          <w:rFonts w:ascii="Times New Roman" w:hAnsi="Times New Roman" w:eastAsia="FZShuSong-Z01S" w:cs="Times New Roman"/>
          <w:b/>
          <w:bCs/>
          <w:sz w:val="36"/>
          <w:szCs w:val="36"/>
        </w:rPr>
      </w:pPr>
      <w:r>
        <w:rPr>
          <w:rFonts w:ascii="Times New Roman" w:hAnsi="Times New Roman" w:eastAsia="FZShuSong-Z01S" w:cs="Times New Roman"/>
          <w:b/>
          <w:bCs/>
          <w:sz w:val="36"/>
          <w:szCs w:val="36"/>
        </w:rPr>
        <w:pict>
          <v:line id="_x0000_s1026" o:spid="_x0000_s1026" o:spt="20" style="position:absolute;left:0pt;margin-left:-16.95pt;margin-top:8.75pt;height:0pt;width:450.7pt;z-index:251658240;mso-width-relative:page;mso-height-relative:page;" stroked="t" coordsize="21600,21600" o:allowincell="f" o:gfxdata="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MI897aAAAACQEAAA8AAAAAAAAAAQAgAAAAIgAAAGRycy9kb3ducmV2LnhtbFBLAQIUABQAAAAI&#10;AIdO4kCgFygD6wEAANwDAAAOAAAAAAAAAAEAIAAAACkBAABkcnMvZTJvRG9jLnhtbFBLBQYAAAAA&#10;BgAGAFkBAACGBQAAAAAA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ind w:right="-477" w:rightChars="-227"/>
        <w:jc w:val="center"/>
        <w:rPr>
          <w:rFonts w:ascii="Times New Roman" w:hAnsi="Times New Roman" w:eastAsia="微软雅黑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微软雅黑" w:cs="Times New Roman"/>
          <w:color w:val="000000"/>
          <w:sz w:val="36"/>
          <w:szCs w:val="36"/>
        </w:rPr>
        <w:t>我校召开</w:t>
      </w:r>
      <w:r>
        <w:rPr>
          <w:rFonts w:ascii="Times New Roman" w:hAnsi="Times New Roman" w:eastAsia="微软雅黑" w:cs="Times New Roman"/>
          <w:color w:val="000000"/>
          <w:sz w:val="36"/>
          <w:szCs w:val="36"/>
        </w:rPr>
        <w:t>省级“双高计划”项目建设专题研讨会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根据《国家职业教育改革实施方案》《提质培优行动计划》《贵州支持职业教育发展若干措施》《贵州职业教育兴黔富民行动计划》等文件精神，为确保学校“双高计划”各项目建设工作有序稳步、高质推进，我校质量保证中心于1月11号在我校俊德楼一楼会议室，组织省级“双高计划”项目建设专题研讨会。党委书记张曦，校长翟理红，党委副书记李炳昌，党委委员、副校长赵雅卫，党委委员、纪委书记陈尧年以及党委委员、副校长张世琴</w:t>
      </w:r>
      <w:r>
        <w:rPr>
          <w:rFonts w:hint="eastAsia" w:cs="Times New Roman" w:asciiTheme="minorEastAsia" w:hAnsiTheme="minorEastAsia"/>
          <w:sz w:val="28"/>
          <w:szCs w:val="28"/>
        </w:rPr>
        <w:t>，</w:t>
      </w:r>
      <w:r>
        <w:rPr>
          <w:rFonts w:ascii="Times New Roman" w:hAnsi="Times New Roman" w:eastAsia="FangSong_GB2312" w:cs="Times New Roman"/>
          <w:sz w:val="28"/>
          <w:szCs w:val="28"/>
        </w:rPr>
        <w:t>党委委员况怡兰和任重出席会议。省幼儿教师</w:t>
      </w:r>
      <w:r>
        <w:rPr>
          <w:rFonts w:ascii="宋体" w:hAnsi="宋体" w:eastAsia="宋体" w:cs="宋体"/>
          <w:sz w:val="28"/>
          <w:szCs w:val="28"/>
        </w:rPr>
        <w:t>发展中心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Times New Roman" w:hAnsi="Times New Roman" w:eastAsia="FangSong_GB2312" w:cs="Times New Roman"/>
          <w:sz w:val="28"/>
          <w:szCs w:val="28"/>
        </w:rPr>
        <w:t>质量保证中心、计财处</w:t>
      </w:r>
      <w:r>
        <w:rPr>
          <w:rFonts w:ascii="宋体" w:hAnsi="宋体" w:eastAsia="宋体" w:cs="宋体"/>
          <w:sz w:val="28"/>
          <w:szCs w:val="28"/>
        </w:rPr>
        <w:t>负责人及</w:t>
      </w:r>
      <w:r>
        <w:rPr>
          <w:rFonts w:ascii="Times New Roman" w:hAnsi="Times New Roman" w:eastAsia="FangSong_GB2312" w:cs="Times New Roman"/>
          <w:sz w:val="28"/>
          <w:szCs w:val="28"/>
        </w:rPr>
        <w:t>各项目负责人以及四系两部主要负责人参加本次研讨。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首先，质量保证中心孙立枫主任汇报了会议议程，并从指导思想、工作组织机构、重点工作要求以及就我校“双高计划”建设方案进行了阐述。孙立枫主任提出，为了更快更好地完成“双高”建设、落实“双高”举措，我校组建了工作领导组、项目实施组（包含11个项目小组）、质量保证组三个专项组。会议提出了该阶段“双高”工作的重点要求，即优化“双高计划”建设方案，确认“双高计划”年度目标任务书，建立“双高计划”月、季度和年度分段推进机制，建立“双高计划”过程与结果并进的监控制度，以及建立“双高计划”投入与建设优先保障制度。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之后，11个项目小组依次进行汇报工作。自我校省级“双高”立项单位申报成功后，各项目负责人根据新形势和新进展对原有方案进行再次优化，并在会议上着重汇报了方案优化的思路以及具体举措。</w:t>
      </w:r>
    </w:p>
    <w:p>
      <w:pPr>
        <w:spacing w:line="360" w:lineRule="auto"/>
        <w:jc w:val="center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drawing>
          <wp:inline distT="0" distB="0" distL="114300" distR="114300">
            <wp:extent cx="5060950" cy="3375025"/>
            <wp:effectExtent l="0" t="0" r="6350" b="15875"/>
            <wp:docPr id="2" name="图片 2" descr="C:/Users/ADMINI~1/AppData/Local/Temp/picturecompress_2021011115330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picturecompress_20210111153304/output_1.jpgoutput_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会议现场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在听取完各项目负责人的汇报之后，党委委员、纪委书记陈尧年提出了重要建议。陈尧年建议为确保“双高计划”的项目顺利推进，应当要积极推行实施项目负责制，要做到分工明确、职能清晰。即项目组长为项目责任人，负责总体统筹，质量保证中心充分发挥协助推进项目实施的作用，积极对接项目的组长和副组长，实现对过程的督导和宣传。此外，纪委书记陈尧年还提出了“共知”“共荣”“共抓”“共享”“四共”精神。即在全校范围内，“双高”的目标和举措要做到人人知晓，“双高”精神和氛围要人人融入，“双高”建设要人人参与、贡献力量，“双高”成果要人人共享。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随后，校长翟理红就各项目进行了依次点评。她特别指出技术技能创新服务平台工作要着力搭建相关机制，突显在平台内高质量人才培养的优质服务；同时，翟理红校长对校企合作项目小组、服务发展建设小组以及国际化建设小组提出工作要求：一是要及时制定标准，让工作有条可循；二是认清工作重心、拓展思路创新建设；三是要做精准化思考，明确目标、任务，顺利完成施工图。</w:t>
      </w:r>
    </w:p>
    <w:p>
      <w:pPr>
        <w:spacing w:line="360" w:lineRule="auto"/>
        <w:jc w:val="center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drawing>
          <wp:inline distT="0" distB="0" distL="114300" distR="114300">
            <wp:extent cx="5039995" cy="3360420"/>
            <wp:effectExtent l="0" t="0" r="8255" b="11430"/>
            <wp:docPr id="4" name="图片 4" descr="C:/Users/ADMINI~1/AppData/Local/Temp/picturecompress_2021011115353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~1/AppData/Local/Temp/picturecompress_20210111153537/output_1.jpgoutput_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bright="12000"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校长翟理红指导工作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党委书记张曦在听取各方意见之后，对以下工作做出了重要指示：一是要重新审视学校现阶段所处的形式，找准学校自身的定位；二是要继续对标国家级“双高”标准以及此次的省级“双高”评审标准修订和完善总体方案及实施方案；三是要加</w:t>
      </w:r>
      <w:bookmarkStart w:id="0" w:name="_GoBack"/>
      <w:bookmarkEnd w:id="0"/>
      <w:r>
        <w:rPr>
          <w:rFonts w:ascii="Times New Roman" w:hAnsi="Times New Roman" w:eastAsia="FangSong_GB2312" w:cs="Times New Roman"/>
          <w:sz w:val="28"/>
          <w:szCs w:val="28"/>
        </w:rPr>
        <w:t>快落实完善我校自身办学实力的评价体系，树立标准意识；四是要责任落实，加快修订各项目的施工图以及时间表。</w:t>
      </w:r>
    </w:p>
    <w:p>
      <w:pPr>
        <w:spacing w:line="360" w:lineRule="auto"/>
        <w:jc w:val="center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drawing>
          <wp:inline distT="0" distB="0" distL="114300" distR="114300">
            <wp:extent cx="5039995" cy="3360420"/>
            <wp:effectExtent l="0" t="0" r="8255" b="11430"/>
            <wp:docPr id="6" name="图片 6" descr="C:/Users/ADMINI~1/AppData/Local/Temp/picturecompress_2021011115363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~1/AppData/Local/Temp/picturecompress_20210111153634/output_1.jpgoutput_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党委书记张曦做重要发言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会议最后，党委副书记李炳昌做总结发言以及相关工作部署。他要求项目负责人认真听取会议意见，亲力亲为做好方案优化工作；质量保证中心以及教学科研处认真领会会议精神，短期内要重点做好我校自身办学实力的评价体系相关工作，长期要提炼我校未来三年“双高”建设的重要科研攻关工作，并为之后申报国家级“双高”学校奠定基础。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drawing>
          <wp:inline distT="0" distB="0" distL="114300" distR="114300">
            <wp:extent cx="5039995" cy="3441065"/>
            <wp:effectExtent l="0" t="0" r="8255" b="6985"/>
            <wp:docPr id="1" name="图片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参会人员合影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</w:p>
    <w:p>
      <w:pPr>
        <w:spacing w:line="360" w:lineRule="auto"/>
        <w:ind w:left="0" w:leftChars="0" w:firstLine="0" w:firstLineChars="0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摄影：刘腾龙  撰稿：杨雪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roman"/>
    <w:pitch w:val="default"/>
    <w:sig w:usb0="00000001" w:usb1="080F0000" w:usb2="0000000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FZShuSong-Z01S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06318"/>
    <w:rsid w:val="6E235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1269</Characters>
  <Lines>10</Lines>
  <Paragraphs>2</Paragraphs>
  <TotalTime>2</TotalTime>
  <ScaleCrop>false</ScaleCrop>
  <LinksUpToDate>false</LinksUpToDate>
  <CharactersWithSpaces>1489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2021-01-11T11:24:00Z</dcterms:created>
  <dc:creator>innocent❄</dc:creator>
  <cp:lastModifiedBy>apple</cp:lastModifiedBy>
  <dcterms:modified xsi:type="dcterms:W3CDTF">2021-01-11T13:50:48Z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