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" w:beforeAutospacing="0"/>
        <w:rPr>
          <w:rFonts w:hint="eastAsia" w:ascii="华文行楷" w:hAnsi="华文行楷" w:eastAsia="华文行楷" w:cs="华文行楷"/>
          <w:color w:val="FF0000"/>
          <w:kern w:val="0"/>
          <w:sz w:val="72"/>
          <w:szCs w:val="72"/>
          <w:lang w:val="en-US" w:bidi="ar"/>
        </w:rPr>
      </w:pPr>
      <w:r>
        <w:rPr>
          <w:rFonts w:hint="default" w:ascii="Times New Roman" w:hAnsi="宋体" w:cs="宋体"/>
          <w:sz w:val="11"/>
          <w:szCs w:val="32"/>
          <w:lang w:eastAsia="zh-CN"/>
        </w:rPr>
        <w:drawing>
          <wp:inline distT="0" distB="0" distL="114300" distR="114300">
            <wp:extent cx="5267325" cy="776605"/>
            <wp:effectExtent l="0" t="0" r="0" b="4445"/>
            <wp:docPr id="1" name="图片 1" descr="搜狗截图2022042110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截图20220421101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drawing>
          <wp:inline distT="0" distB="0" distL="114300" distR="114300">
            <wp:extent cx="5230495" cy="30480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贵阳幼儿师范高等专科学校银龄教师招募通知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的二十大精神，充分发挥退休教育工作者的经验与智慧，加强我校教学质量监控与评价队伍建设，推动教学提质与专业发展，根据贵州省“银龄计划”相关文件精神，我校现面向社会公开招募银龄教师。具体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贵州省内职业院校、高等学校、行业企业退休的副高级及以上职称，或具有相应职业技能等级资格的优秀教师、专家学者、技术能手等。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政治坚定，热爱教育事业，师德高尚，责任心强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年龄不超过70周岁，身心健康，能胜任教学督导工作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具有丰富的教学或行业实践经验，能胜任教学评价、专业指导等工作。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三、岗位需求及人数</w:t>
      </w:r>
    </w:p>
    <w:tbl>
      <w:tblPr>
        <w:tblStyle w:val="9"/>
        <w:tblpPr w:leftFromText="180" w:rightFromText="180" w:vertAnchor="text" w:horzAnchor="page" w:tblpX="1256" w:tblpY="317"/>
        <w:tblOverlap w:val="never"/>
        <w:tblW w:w="94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6050"/>
        <w:gridCol w:w="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592" w:type="dxa"/>
            <w:gridSpan w:val="2"/>
            <w:noWrap w:val="0"/>
            <w:vAlign w:val="top"/>
          </w:tcPr>
          <w:p>
            <w:pPr>
              <w:pStyle w:val="8"/>
              <w:spacing w:before="124"/>
              <w:ind w:right="218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专业大类需求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pStyle w:val="8"/>
              <w:spacing w:before="124"/>
              <w:ind w:right="218"/>
              <w:jc w:val="center"/>
              <w:rPr>
                <w:b/>
                <w:bCs/>
                <w:spacing w:val="-3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 </w:t>
            </w:r>
            <w:r>
              <w:rPr>
                <w:b/>
                <w:bCs/>
                <w:spacing w:val="-3"/>
              </w:rPr>
              <w:t>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542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教育与体育类别</w:t>
            </w:r>
          </w:p>
        </w:tc>
        <w:tc>
          <w:tcPr>
            <w:tcW w:w="6050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spacing w:val="-3"/>
              </w:rPr>
              <w:t>涉及学前教育、特教、托育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rFonts w:hint="eastAsia"/>
                <w:spacing w:val="-3"/>
                <w:lang w:val="en-US" w:eastAsia="zh-CN"/>
              </w:rPr>
              <w:t>体教</w:t>
            </w:r>
            <w:r>
              <w:rPr>
                <w:spacing w:val="-3"/>
              </w:rPr>
              <w:t>等专业领域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before="69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42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马克思主义理论类别</w:t>
            </w:r>
          </w:p>
        </w:tc>
        <w:tc>
          <w:tcPr>
            <w:tcW w:w="6050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spacing w:val="-3"/>
              </w:rPr>
              <w:t>思想政治教育专业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before="284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542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公共服务类别</w:t>
            </w:r>
          </w:p>
        </w:tc>
        <w:tc>
          <w:tcPr>
            <w:tcW w:w="6050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spacing w:val="-3"/>
              </w:rPr>
              <w:t>涉及社会工作、社区管理与服务、养老服务等专业领域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542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艺术类别</w:t>
            </w:r>
          </w:p>
        </w:tc>
        <w:tc>
          <w:tcPr>
            <w:tcW w:w="6050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</w:rPr>
            </w:pPr>
            <w:r>
              <w:rPr>
                <w:spacing w:val="-3"/>
              </w:rPr>
              <w:t>涉及音乐、舞蹈、美术等专业领域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42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计算机</w:t>
            </w:r>
            <w:r>
              <w:rPr>
                <w:spacing w:val="-3"/>
              </w:rPr>
              <w:t>类别</w:t>
            </w:r>
          </w:p>
        </w:tc>
        <w:tc>
          <w:tcPr>
            <w:tcW w:w="6050" w:type="dxa"/>
            <w:noWrap w:val="0"/>
            <w:vAlign w:val="center"/>
          </w:tcPr>
          <w:p>
            <w:pPr>
              <w:pStyle w:val="8"/>
              <w:spacing w:before="124"/>
              <w:ind w:right="218"/>
              <w:jc w:val="center"/>
              <w:rPr>
                <w:rFonts w:hint="default"/>
                <w:spacing w:val="-3"/>
                <w:lang w:val="en-US" w:eastAsia="en-US"/>
              </w:rPr>
            </w:pPr>
            <w:r>
              <w:rPr>
                <w:rFonts w:hint="default"/>
                <w:spacing w:val="-3"/>
                <w:lang w:val="en-US" w:eastAsia="en-US"/>
              </w:rPr>
              <w:t>计算机科学与</w:t>
            </w:r>
            <w:r>
              <w:rPr>
                <w:rFonts w:hint="eastAsia"/>
                <w:spacing w:val="-3"/>
                <w:lang w:val="en-US" w:eastAsia="zh-CN"/>
              </w:rPr>
              <w:t>技术、</w:t>
            </w:r>
            <w:r>
              <w:rPr>
                <w:rFonts w:hint="default"/>
                <w:spacing w:val="-3"/>
                <w:lang w:val="en-US" w:eastAsia="en-US"/>
              </w:rPr>
              <w:t>软件工程</w:t>
            </w:r>
            <w:r>
              <w:rPr>
                <w:rFonts w:hint="eastAsia"/>
                <w:spacing w:val="-3"/>
                <w:lang w:val="en-US" w:eastAsia="zh-CN"/>
              </w:rPr>
              <w:t>、</w:t>
            </w:r>
            <w:r>
              <w:rPr>
                <w:rFonts w:hint="default"/>
                <w:spacing w:val="-3"/>
                <w:lang w:val="en-US" w:eastAsia="en-US"/>
              </w:rPr>
              <w:t>数字媒体技术</w:t>
            </w:r>
          </w:p>
          <w:p>
            <w:pPr>
              <w:pStyle w:val="8"/>
              <w:spacing w:before="124"/>
              <w:ind w:right="218"/>
              <w:jc w:val="center"/>
              <w:rPr>
                <w:spacing w:val="-3"/>
                <w:lang w:val="en-US" w:eastAsia="en-US"/>
              </w:rPr>
            </w:pPr>
            <w:r>
              <w:rPr>
                <w:rFonts w:hint="default"/>
                <w:spacing w:val="-3"/>
                <w:lang w:val="en-US" w:eastAsia="en-US"/>
              </w:rPr>
              <w:t>数据科学与大数据技术</w:t>
            </w:r>
            <w:r>
              <w:rPr>
                <w:rFonts w:hint="eastAsia"/>
                <w:spacing w:val="-3"/>
                <w:lang w:val="en-US" w:eastAsia="zh-CN"/>
              </w:rPr>
              <w:t>等专业领域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</w:tbl>
    <w:p/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承担一线教学、示范课与公开课，指导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教师成长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开展课堂教学督导，每学期不少于41人次（82课时）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开展实践教学督导，每学期不少于3天（18课时）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参与教学评价、课程建设、专业发展等相关工作。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报名时间：2025年12月—2026年2月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报名方式（任选其一）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线上报名：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登录学校官网“银龄教师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”专栏下载报名表，连同身份证、职称证、教师资格证、体检报告等材料扫描件，发送至邮箱：706973291@qq.com。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线下报名：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携带报名材料纸质版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及其他报名材料，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至贵阳幼儿师范高等专科学校峻德楼213室现场提交。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学校官网：https://www.gypec.edu.cn/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张老师（13639036511）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贵阳幼儿师范高等专科学校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2025年12月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BA3AFB-FDDF-4DAF-9EEC-01D00C8FBA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7CF945-42B4-46C4-842A-71B371A341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1E1973-FCD1-42F2-88E4-71F1E751094E}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华文行楷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00" w:usb3="00000000" w:csb0="00040000" w:csb1="00000000"/>
    <w:embedRegular r:id="rId4" w:fontKey="{C6DEDD56-9F63-4859-8FF6-A694EBCB2F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GQzM2RkMGJkNGVmODY5MGYwM2JjMjVjZjgxMDIifQ=="/>
  </w:docVars>
  <w:rsids>
    <w:rsidRoot w:val="57226320"/>
    <w:rsid w:val="425D54A4"/>
    <w:rsid w:val="57226320"/>
    <w:rsid w:val="7C0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link w:val="11"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首行缩进 2 字符"/>
    <w:basedOn w:val="11"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1">
    <w:name w:val="正文文本缩进 字符"/>
    <w:basedOn w:val="6"/>
    <w:link w:val="3"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2">
    <w:name w:val="正文文本 字符"/>
    <w:basedOn w:val="6"/>
    <w:link w:val="2"/>
    <w:uiPriority w:val="0"/>
    <w:rPr>
      <w:rFonts w:hint="eastAsia" w:ascii="宋体" w:hAnsi="宋体" w:eastAsia="宋体" w:cs="宋体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2026-01-12T06:07:00Z</dcterms:created>
  <dc:creator>张琬婧 办公室</dc:creator>
  <cp:lastModifiedBy>七月初</cp:lastModifiedBy>
  <dcterms:modified xsi:type="dcterms:W3CDTF">2026-01-12T08:56:11Z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967DC4541C83453385DDC39F7135C96D_11</vt:lpwstr>
  </property>
  <property fmtid="{D5CDD505-2E9C-101B-9397-08002B2CF9AE}" pid="4" name="KSOTemplateDocerSaveRecord">
    <vt:lpwstr>eyJoZGlkIjoiMTVjNjc0ZmJjNDhjNzJhNDc1MTBkMmU5ODQ0ZjdjZDQiLCJ1c2VySWQiOiIxMzgzNDE0NzgifQ==</vt:lpwstr>
  </property>
</Properties>
</file>