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C4DE0">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bookmarkStart w:id="0" w:name="060f4217-89d7-49c6-8237-9a9022ad6993"/>
      <w:r>
        <w:rPr>
          <w:rFonts w:hint="default" w:ascii="Times New Roman" w:hAnsi="Times New Roman" w:cs="Times New Roman"/>
          <w:position w:val="-56"/>
        </w:rPr>
        <w:drawing>
          <wp:anchor distT="0" distB="0" distL="114300" distR="114300" simplePos="0" relativeHeight="251659264" behindDoc="1" locked="0" layoutInCell="1" allowOverlap="1">
            <wp:simplePos x="0" y="0"/>
            <wp:positionH relativeFrom="column">
              <wp:posOffset>-95885</wp:posOffset>
            </wp:positionH>
            <wp:positionV relativeFrom="paragraph">
              <wp:posOffset>-83820</wp:posOffset>
            </wp:positionV>
            <wp:extent cx="5794375" cy="1123950"/>
            <wp:effectExtent l="0" t="0" r="15875" b="0"/>
            <wp:wrapNone/>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6"/>
                    <a:srcRect t="20148" b="6245"/>
                    <a:stretch>
                      <a:fillRect/>
                    </a:stretch>
                  </pic:blipFill>
                  <pic:spPr>
                    <a:xfrm>
                      <a:off x="0" y="0"/>
                      <a:ext cx="5794375" cy="1123950"/>
                    </a:xfrm>
                    <a:prstGeom prst="rect">
                      <a:avLst/>
                    </a:prstGeom>
                    <a:noFill/>
                    <a:ln>
                      <a:noFill/>
                    </a:ln>
                  </pic:spPr>
                </pic:pic>
              </a:graphicData>
            </a:graphic>
          </wp:anchor>
        </w:drawing>
      </w:r>
    </w:p>
    <w:p w14:paraId="7060CAB4">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p>
    <w:p w14:paraId="595B3ADC">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p>
    <w:p w14:paraId="2E37CCDE">
      <w:pPr>
        <w:spacing w:before="160" w:line="219" w:lineRule="auto"/>
        <w:jc w:val="center"/>
        <w:rPr>
          <w:rFonts w:hint="default" w:ascii="Times New Roman" w:hAnsi="Times New Roman" w:eastAsia="FangSong_GB2312" w:cs="Times New Roman"/>
          <w:sz w:val="31"/>
          <w:szCs w:val="31"/>
        </w:rPr>
      </w:pPr>
      <w:r>
        <w:rPr>
          <w:rFonts w:hint="default" w:ascii="Times New Roman" w:hAnsi="Times New Roman" w:eastAsia="FangSong_GB2312" w:cs="Times New Roman"/>
          <w:b/>
          <w:bCs/>
          <w:spacing w:val="4"/>
          <w:sz w:val="31"/>
          <w:szCs w:val="31"/>
        </w:rPr>
        <w:t>筑幼高专质监中心〔</w:t>
      </w:r>
      <w:r>
        <w:rPr>
          <w:rFonts w:hint="default" w:ascii="Times New Roman" w:hAnsi="Times New Roman" w:eastAsia="Times New Roman" w:cs="Times New Roman"/>
          <w:b/>
          <w:bCs/>
          <w:spacing w:val="4"/>
          <w:sz w:val="31"/>
          <w:szCs w:val="31"/>
        </w:rPr>
        <w:t>202</w:t>
      </w:r>
      <w:r>
        <w:rPr>
          <w:rFonts w:hint="default" w:ascii="Times New Roman" w:hAnsi="Times New Roman" w:eastAsia="宋体" w:cs="Times New Roman"/>
          <w:b/>
          <w:bCs/>
          <w:spacing w:val="4"/>
          <w:sz w:val="31"/>
          <w:szCs w:val="31"/>
          <w:lang w:val="en-US" w:eastAsia="zh-CN"/>
        </w:rPr>
        <w:t>6</w:t>
      </w:r>
      <w:r>
        <w:rPr>
          <w:rFonts w:hint="default" w:ascii="Times New Roman" w:hAnsi="Times New Roman" w:eastAsia="FangSong_GB2312" w:cs="Times New Roman"/>
          <w:b/>
          <w:bCs/>
          <w:spacing w:val="4"/>
          <w:sz w:val="31"/>
          <w:szCs w:val="31"/>
        </w:rPr>
        <w:t>〕</w:t>
      </w:r>
      <w:r>
        <w:rPr>
          <w:rFonts w:hint="default" w:ascii="Times New Roman" w:hAnsi="Times New Roman" w:eastAsia="Times New Roman" w:cs="Times New Roman"/>
          <w:b/>
          <w:bCs/>
          <w:spacing w:val="4"/>
          <w:sz w:val="31"/>
          <w:szCs w:val="31"/>
        </w:rPr>
        <w:t>0</w:t>
      </w:r>
      <w:r>
        <w:rPr>
          <w:rFonts w:hint="eastAsia" w:ascii="Times New Roman" w:hAnsi="Times New Roman" w:cs="Times New Roman"/>
          <w:b/>
          <w:bCs/>
          <w:spacing w:val="4"/>
          <w:sz w:val="31"/>
          <w:szCs w:val="31"/>
          <w:lang w:val="en-US" w:eastAsia="zh-CN"/>
        </w:rPr>
        <w:t>9</w:t>
      </w:r>
      <w:r>
        <w:rPr>
          <w:rFonts w:hint="default" w:ascii="Times New Roman" w:hAnsi="Times New Roman" w:eastAsia="FangSong_GB2312" w:cs="Times New Roman"/>
          <w:b/>
          <w:bCs/>
          <w:spacing w:val="4"/>
          <w:sz w:val="31"/>
          <w:szCs w:val="31"/>
        </w:rPr>
        <w:t>号</w:t>
      </w:r>
    </w:p>
    <w:p w14:paraId="1E6478D7">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r>
        <w:rPr>
          <w:rFonts w:hint="default" w:ascii="Times New Roman" w:hAnsi="Times New Roman" w:cs="Times New Roman"/>
          <w:sz w:val="31"/>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132080</wp:posOffset>
                </wp:positionV>
                <wp:extent cx="5431155" cy="1270"/>
                <wp:effectExtent l="0" t="19050" r="17145" b="36830"/>
                <wp:wrapNone/>
                <wp:docPr id="2" name="直接连接符 2"/>
                <wp:cNvGraphicFramePr/>
                <a:graphic xmlns:a="http://schemas.openxmlformats.org/drawingml/2006/main">
                  <a:graphicData uri="http://schemas.microsoft.com/office/word/2010/wordprocessingShape">
                    <wps:wsp>
                      <wps:cNvSpPr/>
                      <wps:spPr>
                        <a:xfrm>
                          <a:off x="0" y="0"/>
                          <a:ext cx="5431155" cy="127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pt;margin-top:10.4pt;height:0.1pt;width:427.65pt;z-index:251660288;mso-width-relative:page;mso-height-relative:page;" filled="f" stroked="t" coordsize="21600,21600" o:gfxdata="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sFXxdoAAAAIAQAADwAAAAAAAAABACAAAAAiAAAAZHJzL2Rvd25y&#10;ZXYueG1sUEsBAhQAFAAAAAgAh07iQJt+5d38AQAA6AMAAA4AAAAAAAAAAQAgAAAAKQEAAGRycy9l&#10;Mm9Eb2MueG1sUEsFBgAAAAAGAAYAWQEAAJcFAAAAAA==&#10;">
                <v:path arrowok="t"/>
                <v:fill on="f" focussize="0,0"/>
                <v:stroke weight="3pt" color="#FF0000"/>
                <v:imagedata o:title=""/>
                <o:lock v:ext="edit" aspectratio="f"/>
              </v:line>
            </w:pict>
          </mc:Fallback>
        </mc:AlternateContent>
      </w:r>
    </w:p>
    <w:p w14:paraId="7F892DE1">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r>
        <w:rPr>
          <w:rFonts w:hint="default" w:ascii="Times New Roman" w:hAnsi="Times New Roman" w:eastAsia="方正小标宋简体" w:cs="Times New Roman"/>
          <w:b w:val="0"/>
          <w:i w:val="0"/>
          <w:spacing w:val="0"/>
          <w:sz w:val="44"/>
          <w:szCs w:val="44"/>
          <w:lang w:val="en-US" w:eastAsia="zh-CN"/>
        </w:rPr>
        <w:t>2025-2026学年第二学期</w:t>
      </w:r>
    </w:p>
    <w:p w14:paraId="7481E6DA">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lang w:val="en-US" w:eastAsia="zh-CN"/>
        </w:rPr>
      </w:pPr>
      <w:r>
        <w:rPr>
          <w:rFonts w:hint="default" w:ascii="Times New Roman" w:hAnsi="Times New Roman" w:eastAsia="方正小标宋简体" w:cs="Times New Roman"/>
          <w:b w:val="0"/>
          <w:i w:val="0"/>
          <w:spacing w:val="0"/>
          <w:sz w:val="44"/>
          <w:szCs w:val="44"/>
        </w:rPr>
        <w:t>AI智慧化</w:t>
      </w:r>
      <w:r>
        <w:rPr>
          <w:rFonts w:hint="default" w:ascii="Times New Roman" w:hAnsi="Times New Roman" w:eastAsia="方正小标宋简体" w:cs="Times New Roman"/>
          <w:b w:val="0"/>
          <w:i w:val="0"/>
          <w:spacing w:val="0"/>
          <w:sz w:val="44"/>
          <w:szCs w:val="44"/>
          <w:lang w:val="en-US" w:eastAsia="zh-CN"/>
        </w:rPr>
        <w:t>课堂教学核心指标</w:t>
      </w:r>
      <w:bookmarkEnd w:id="0"/>
      <w:bookmarkStart w:id="1" w:name="6eece219-a851-4963-9b65-d440d2ebdbda"/>
      <w:r>
        <w:rPr>
          <w:rFonts w:hint="default" w:ascii="Times New Roman" w:hAnsi="Times New Roman" w:eastAsia="方正小标宋简体" w:cs="Times New Roman"/>
          <w:b w:val="0"/>
          <w:i w:val="0"/>
          <w:spacing w:val="0"/>
          <w:sz w:val="44"/>
          <w:szCs w:val="44"/>
          <w:lang w:val="en-US" w:eastAsia="zh-CN"/>
        </w:rPr>
        <w:t>分析报告</w:t>
      </w:r>
    </w:p>
    <w:p w14:paraId="16D4493E">
      <w:pPr>
        <w:pStyle w:val="12"/>
        <w:keepNext w:val="0"/>
        <w:keepLines w:val="0"/>
        <w:pageBreakBefore w:val="0"/>
        <w:widowControl/>
        <w:kinsoku/>
        <w:wordWrap/>
        <w:overflowPunct/>
        <w:topLinePunct w:val="0"/>
        <w:autoSpaceDE/>
        <w:autoSpaceDN/>
        <w:bidi w:val="0"/>
        <w:adjustRightInd w:val="0"/>
        <w:snapToGrid w:val="0"/>
        <w:spacing w:before="0" w:after="0" w:line="560" w:lineRule="exact"/>
        <w:ind w:left="0" w:right="0"/>
        <w:jc w:val="center"/>
        <w:textAlignment w:val="auto"/>
        <w:rPr>
          <w:rFonts w:hint="default" w:ascii="Times New Roman" w:hAnsi="Times New Roman" w:eastAsia="方正小标宋简体" w:cs="Times New Roman"/>
          <w:b w:val="0"/>
          <w:i w:val="0"/>
          <w:spacing w:val="0"/>
          <w:sz w:val="44"/>
          <w:szCs w:val="44"/>
        </w:rPr>
      </w:pPr>
      <w:r>
        <w:rPr>
          <w:rFonts w:hint="default" w:ascii="Times New Roman" w:hAnsi="Times New Roman" w:eastAsia="方正小标宋简体" w:cs="Times New Roman"/>
          <w:b w:val="0"/>
          <w:i w:val="0"/>
          <w:spacing w:val="0"/>
          <w:sz w:val="44"/>
          <w:szCs w:val="44"/>
        </w:rPr>
        <w:t>（</w:t>
      </w:r>
      <w:r>
        <w:rPr>
          <w:rFonts w:hint="default" w:ascii="Times New Roman" w:hAnsi="Times New Roman" w:eastAsia="方正小标宋简体" w:cs="Times New Roman"/>
          <w:b w:val="0"/>
          <w:i w:val="0"/>
          <w:spacing w:val="0"/>
          <w:sz w:val="44"/>
          <w:szCs w:val="44"/>
          <w:lang w:val="en-US" w:eastAsia="zh-CN"/>
        </w:rPr>
        <w:t>2026年3</w:t>
      </w:r>
      <w:r>
        <w:rPr>
          <w:rFonts w:hint="default" w:ascii="Times New Roman" w:hAnsi="Times New Roman" w:eastAsia="方正小标宋简体" w:cs="Times New Roman"/>
          <w:b w:val="0"/>
          <w:i w:val="0"/>
          <w:spacing w:val="0"/>
          <w:sz w:val="44"/>
          <w:szCs w:val="44"/>
        </w:rPr>
        <w:t>月</w:t>
      </w:r>
      <w:r>
        <w:rPr>
          <w:rFonts w:hint="default" w:ascii="Times New Roman" w:hAnsi="Times New Roman" w:eastAsia="方正小标宋简体" w:cs="Times New Roman"/>
          <w:b w:val="0"/>
          <w:i w:val="0"/>
          <w:spacing w:val="0"/>
          <w:sz w:val="44"/>
          <w:szCs w:val="44"/>
          <w:lang w:val="en-US" w:eastAsia="zh-CN"/>
        </w:rPr>
        <w:t>8</w:t>
      </w:r>
      <w:r>
        <w:rPr>
          <w:rFonts w:hint="default" w:ascii="Times New Roman" w:hAnsi="Times New Roman" w:eastAsia="方正小标宋简体" w:cs="Times New Roman"/>
          <w:b w:val="0"/>
          <w:i w:val="0"/>
          <w:spacing w:val="0"/>
          <w:sz w:val="44"/>
          <w:szCs w:val="44"/>
        </w:rPr>
        <w:t>日—</w:t>
      </w:r>
      <w:r>
        <w:rPr>
          <w:rFonts w:hint="default" w:ascii="Times New Roman" w:hAnsi="Times New Roman" w:eastAsia="方正小标宋简体" w:cs="Times New Roman"/>
          <w:b w:val="0"/>
          <w:i w:val="0"/>
          <w:spacing w:val="0"/>
          <w:sz w:val="44"/>
          <w:szCs w:val="44"/>
          <w:lang w:val="en-US" w:eastAsia="zh-CN"/>
        </w:rPr>
        <w:t>4月1</w:t>
      </w:r>
      <w:r>
        <w:rPr>
          <w:rFonts w:hint="default" w:ascii="Times New Roman" w:hAnsi="Times New Roman" w:eastAsia="方正小标宋简体" w:cs="Times New Roman"/>
          <w:b w:val="0"/>
          <w:i w:val="0"/>
          <w:spacing w:val="0"/>
          <w:sz w:val="44"/>
          <w:szCs w:val="44"/>
        </w:rPr>
        <w:t>日）</w:t>
      </w:r>
      <w:bookmarkEnd w:id="1"/>
    </w:p>
    <w:p w14:paraId="621ACBCF">
      <w:pPr>
        <w:pStyle w:val="4"/>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方正仿宋_GB2312" w:cs="Times New Roman"/>
          <w:b w:val="0"/>
          <w:bCs/>
          <w:i w:val="0"/>
          <w:spacing w:val="0"/>
          <w:sz w:val="32"/>
          <w:szCs w:val="22"/>
          <w:lang w:val="en-US" w:eastAsia="zh-CN"/>
        </w:rPr>
      </w:pPr>
      <w:bookmarkStart w:id="2" w:name="129f4812-d9b3-424b-b4f2-d6a6de9091d9"/>
    </w:p>
    <w:p w14:paraId="1CCCFA96">
      <w:pPr>
        <w:pStyle w:val="4"/>
        <w:keepNext w:val="0"/>
        <w:keepLines w:val="0"/>
        <w:pageBreakBefore w:val="0"/>
        <w:widowControl w:val="0"/>
        <w:numPr>
          <w:ilvl w:val="0"/>
          <w:numId w:val="0"/>
        </w:numPr>
        <w:kinsoku/>
        <w:wordWrap w:val="0"/>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b w:val="0"/>
          <w:bCs/>
          <w:i w:val="0"/>
          <w:spacing w:val="0"/>
          <w:sz w:val="32"/>
          <w:szCs w:val="32"/>
          <w:lang w:val="en-US" w:eastAsia="zh-CN"/>
        </w:rPr>
      </w:pPr>
      <w:r>
        <w:rPr>
          <w:rFonts w:hint="default" w:ascii="Times New Roman" w:hAnsi="Times New Roman" w:eastAsia="仿宋_GB2312" w:cs="Times New Roman"/>
          <w:b w:val="0"/>
          <w:bCs/>
          <w:i w:val="0"/>
          <w:spacing w:val="0"/>
          <w:sz w:val="32"/>
          <w:szCs w:val="32"/>
          <w:lang w:val="en-US" w:eastAsia="zh-CN"/>
        </w:rPr>
        <w:t>质量监控评价中心依托AI智慧化评价平台，对本学期第2-</w:t>
      </w:r>
      <w:r>
        <w:rPr>
          <w:rFonts w:hint="default" w:ascii="Times New Roman" w:hAnsi="Times New Roman" w:eastAsia="仿宋_GB2312" w:cs="Times New Roman"/>
          <w:b w:val="0"/>
          <w:bCs/>
          <w:i w:val="0"/>
          <w:spacing w:val="0"/>
          <w:sz w:val="32"/>
          <w:szCs w:val="32"/>
          <w:lang w:val="en-US"/>
        </w:rPr>
        <w:t>5</w:t>
      </w:r>
      <w:r>
        <w:rPr>
          <w:rFonts w:hint="default" w:ascii="Times New Roman" w:hAnsi="Times New Roman" w:eastAsia="仿宋_GB2312" w:cs="Times New Roman"/>
          <w:b w:val="0"/>
          <w:bCs/>
          <w:i w:val="0"/>
          <w:spacing w:val="0"/>
          <w:sz w:val="32"/>
          <w:szCs w:val="32"/>
          <w:lang w:val="en-US" w:eastAsia="zh-CN"/>
        </w:rPr>
        <w:t>周（3月8日—</w:t>
      </w:r>
      <w:r>
        <w:rPr>
          <w:rFonts w:hint="default" w:ascii="Times New Roman" w:hAnsi="Times New Roman" w:eastAsia="仿宋_GB2312" w:cs="Times New Roman"/>
          <w:b w:val="0"/>
          <w:bCs/>
          <w:i w:val="0"/>
          <w:spacing w:val="0"/>
          <w:sz w:val="32"/>
          <w:szCs w:val="32"/>
          <w:lang w:val="en-US"/>
        </w:rPr>
        <w:t>4月1</w:t>
      </w:r>
      <w:r>
        <w:rPr>
          <w:rFonts w:hint="default" w:ascii="Times New Roman" w:hAnsi="Times New Roman" w:eastAsia="仿宋_GB2312" w:cs="Times New Roman"/>
          <w:b w:val="0"/>
          <w:bCs/>
          <w:i w:val="0"/>
          <w:spacing w:val="0"/>
          <w:sz w:val="32"/>
          <w:szCs w:val="32"/>
          <w:lang w:val="en-US" w:eastAsia="zh-CN"/>
        </w:rPr>
        <w:t>日）AI智慧化教室的课堂教学情况进行数据采集与分析。本次分析聚焦课堂教学的核心行为——教师如何教、学生如何学、师生如何互动——通过AI数据真实呈现课堂实际状态，用数据帮助教师客观分析课堂教学的真实面貌，为各系部和教师提供有针对性的改进依据。</w:t>
      </w:r>
    </w:p>
    <w:p w14:paraId="5825E9AB">
      <w:pPr>
        <w:pStyle w:val="4"/>
        <w:keepNext w:val="0"/>
        <w:keepLines w:val="0"/>
        <w:pageBreakBefore w:val="0"/>
        <w:widowControl w:val="0"/>
        <w:numPr>
          <w:ilvl w:val="0"/>
          <w:numId w:val="1"/>
        </w:numPr>
        <w:kinsoku/>
        <w:wordWrap w:val="0"/>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AI评教平台运行情况</w:t>
      </w:r>
    </w:p>
    <w:p w14:paraId="13868310">
      <w:pPr>
        <w:pStyle w:val="13"/>
        <w:keepNext w:val="0"/>
        <w:keepLines w:val="0"/>
        <w:pageBreakBefore w:val="0"/>
        <w:widowControl/>
        <w:kinsoku/>
        <w:wordWrap/>
        <w:overflowPunct/>
        <w:topLinePunct w:val="0"/>
        <w:autoSpaceDE/>
        <w:autoSpaceDN/>
        <w:bidi w:val="0"/>
        <w:adjustRightInd w:val="0"/>
        <w:snapToGrid w:val="0"/>
        <w:spacing w:before="0" w:after="0" w:line="560" w:lineRule="exact"/>
        <w:ind w:left="0" w:leftChars="0" w:right="0" w:firstLine="640" w:firstLineChars="200"/>
        <w:jc w:val="left"/>
        <w:textAlignment w:val="auto"/>
        <w:rPr>
          <w:rFonts w:hint="default" w:ascii="Times New Roman" w:hAnsi="Times New Roman" w:eastAsia="仿宋_GB2312" w:cs="Times New Roman"/>
          <w:b w:val="0"/>
          <w:bCs/>
          <w:i w:val="0"/>
          <w:spacing w:val="0"/>
          <w:sz w:val="32"/>
          <w:szCs w:val="32"/>
        </w:rPr>
      </w:pPr>
      <w:r>
        <w:rPr>
          <w:rFonts w:hint="default" w:ascii="Times New Roman" w:hAnsi="Times New Roman" w:eastAsia="仿宋_GB2312" w:cs="Times New Roman"/>
          <w:b w:val="0"/>
          <w:bCs/>
          <w:i w:val="0"/>
          <w:spacing w:val="0"/>
          <w:sz w:val="32"/>
          <w:szCs w:val="32"/>
          <w:lang w:val="en-US" w:eastAsia="zh-CN"/>
        </w:rPr>
        <w:t>本周期内AI评教平台共采集教学数据</w:t>
      </w:r>
      <w:r>
        <w:rPr>
          <w:rFonts w:hint="default" w:ascii="Times New Roman" w:hAnsi="Times New Roman" w:eastAsia="仿宋_GB2312" w:cs="Times New Roman"/>
          <w:b w:val="0"/>
          <w:bCs/>
          <w:i w:val="0"/>
          <w:spacing w:val="0"/>
          <w:sz w:val="32"/>
          <w:szCs w:val="32"/>
          <w:lang w:val="en-US"/>
        </w:rPr>
        <w:t>80</w:t>
      </w:r>
      <w:r>
        <w:rPr>
          <w:rFonts w:hint="default" w:ascii="Times New Roman" w:hAnsi="Times New Roman" w:eastAsia="仿宋_GB2312" w:cs="Times New Roman"/>
          <w:b w:val="0"/>
          <w:bCs/>
          <w:i w:val="0"/>
          <w:spacing w:val="0"/>
          <w:sz w:val="32"/>
          <w:szCs w:val="32"/>
          <w:lang w:val="en-US" w:eastAsia="zh-CN"/>
        </w:rPr>
        <w:t>节，生成有效教学评价报告</w:t>
      </w:r>
      <w:r>
        <w:rPr>
          <w:rFonts w:hint="default" w:ascii="Times New Roman" w:hAnsi="Times New Roman" w:eastAsia="仿宋_GB2312" w:cs="Times New Roman"/>
          <w:b w:val="0"/>
          <w:bCs/>
          <w:i w:val="0"/>
          <w:spacing w:val="0"/>
          <w:sz w:val="32"/>
          <w:szCs w:val="32"/>
          <w:lang w:val="en-US"/>
        </w:rPr>
        <w:t>71</w:t>
      </w:r>
      <w:r>
        <w:rPr>
          <w:rFonts w:hint="default" w:ascii="Times New Roman" w:hAnsi="Times New Roman" w:eastAsia="仿宋_GB2312" w:cs="Times New Roman"/>
          <w:b w:val="0"/>
          <w:bCs/>
          <w:i w:val="0"/>
          <w:spacing w:val="0"/>
          <w:sz w:val="32"/>
          <w:szCs w:val="32"/>
          <w:lang w:val="en-US" w:eastAsia="zh-CN"/>
        </w:rPr>
        <w:t>份，报告整体生成率为8</w:t>
      </w:r>
      <w:r>
        <w:rPr>
          <w:rFonts w:hint="default" w:ascii="Times New Roman" w:hAnsi="Times New Roman" w:eastAsia="仿宋_GB2312" w:cs="Times New Roman"/>
          <w:b w:val="0"/>
          <w:bCs/>
          <w:i w:val="0"/>
          <w:spacing w:val="0"/>
          <w:sz w:val="32"/>
          <w:szCs w:val="32"/>
          <w:lang w:val="en-US"/>
        </w:rPr>
        <w:t>9</w:t>
      </w:r>
      <w:r>
        <w:rPr>
          <w:rFonts w:hint="default" w:ascii="Times New Roman" w:hAnsi="Times New Roman" w:eastAsia="仿宋_GB2312" w:cs="Times New Roman"/>
          <w:b w:val="0"/>
          <w:bCs/>
          <w:i w:val="0"/>
          <w:spacing w:val="0"/>
          <w:sz w:val="32"/>
          <w:szCs w:val="32"/>
          <w:lang w:val="en-US" w:eastAsia="zh-CN"/>
        </w:rPr>
        <w:t>%，覆盖体育系、学早系、艺术系、思政部、学特系、基础部、社工系、七个教学单位。具体统计如下</w:t>
      </w:r>
      <w:bookmarkEnd w:id="2"/>
      <w:bookmarkStart w:id="3" w:name="83caaa4e-c8af-4abc-aacd-d6ebd6186708"/>
      <w:r>
        <w:rPr>
          <w:rFonts w:hint="default" w:ascii="Times New Roman" w:hAnsi="Times New Roman" w:eastAsia="仿宋_GB2312" w:cs="Times New Roman"/>
          <w:b w:val="0"/>
          <w:bCs/>
          <w:i w:val="0"/>
          <w:spacing w:val="0"/>
          <w:sz w:val="32"/>
          <w:szCs w:val="32"/>
        </w:rPr>
        <w:t>：</w:t>
      </w:r>
    </w:p>
    <w:tbl>
      <w:tblPr>
        <w:tblStyle w:val="9"/>
        <w:tblW w:w="7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955"/>
        <w:gridCol w:w="1912"/>
        <w:gridCol w:w="1607"/>
      </w:tblGrid>
      <w:tr w14:paraId="134C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blHeader/>
          <w:jc w:val="center"/>
        </w:trPr>
        <w:tc>
          <w:tcPr>
            <w:tcW w:w="1791" w:type="dxa"/>
            <w:vAlign w:val="center"/>
          </w:tcPr>
          <w:p w14:paraId="05BB090D">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b/>
                <w:sz w:val="24"/>
                <w:szCs w:val="24"/>
              </w:rPr>
              <w:t>系部</w:t>
            </w:r>
          </w:p>
        </w:tc>
        <w:tc>
          <w:tcPr>
            <w:tcW w:w="1955" w:type="dxa"/>
            <w:vAlign w:val="center"/>
          </w:tcPr>
          <w:p w14:paraId="1445CF7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b/>
                <w:sz w:val="24"/>
                <w:szCs w:val="24"/>
              </w:rPr>
              <w:t>课（节）</w:t>
            </w:r>
          </w:p>
        </w:tc>
        <w:tc>
          <w:tcPr>
            <w:tcW w:w="1912" w:type="dxa"/>
            <w:vAlign w:val="center"/>
          </w:tcPr>
          <w:p w14:paraId="08AC11A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b/>
                <w:sz w:val="24"/>
                <w:szCs w:val="24"/>
              </w:rPr>
              <w:t>报告数</w:t>
            </w:r>
          </w:p>
        </w:tc>
        <w:tc>
          <w:tcPr>
            <w:tcW w:w="1607" w:type="dxa"/>
            <w:vAlign w:val="center"/>
          </w:tcPr>
          <w:p w14:paraId="7A56374B">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b/>
                <w:sz w:val="24"/>
                <w:szCs w:val="24"/>
              </w:rPr>
              <w:t>生成率</w:t>
            </w:r>
          </w:p>
        </w:tc>
      </w:tr>
      <w:tr w14:paraId="1E9F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26C06247">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lang w:val="en-US" w:eastAsia="zh-CN"/>
              </w:rPr>
              <w:t>体育系</w:t>
            </w:r>
          </w:p>
        </w:tc>
        <w:tc>
          <w:tcPr>
            <w:tcW w:w="1955" w:type="dxa"/>
            <w:vAlign w:val="center"/>
          </w:tcPr>
          <w:p w14:paraId="66DE1E7C">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val="en-US"/>
              </w:rPr>
            </w:pPr>
            <w:r>
              <w:rPr>
                <w:rFonts w:hint="default" w:ascii="Times New Roman" w:hAnsi="Times New Roman" w:eastAsia="仿宋_GB2312" w:cs="Times New Roman"/>
                <w:b w:val="0"/>
                <w:bCs w:val="0"/>
                <w:i w:val="0"/>
                <w:spacing w:val="0"/>
                <w:sz w:val="24"/>
                <w:szCs w:val="24"/>
                <w:vertAlign w:val="baseline"/>
                <w:lang w:val="en-US"/>
              </w:rPr>
              <w:t>30</w:t>
            </w:r>
          </w:p>
        </w:tc>
        <w:tc>
          <w:tcPr>
            <w:tcW w:w="1912" w:type="dxa"/>
            <w:vAlign w:val="center"/>
          </w:tcPr>
          <w:p w14:paraId="070F23DC">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val="en-US"/>
              </w:rPr>
            </w:pPr>
            <w:r>
              <w:rPr>
                <w:rFonts w:hint="default" w:ascii="Times New Roman" w:hAnsi="Times New Roman" w:eastAsia="仿宋_GB2312" w:cs="Times New Roman"/>
                <w:b w:val="0"/>
                <w:bCs w:val="0"/>
                <w:i w:val="0"/>
                <w:spacing w:val="0"/>
                <w:sz w:val="24"/>
                <w:szCs w:val="24"/>
                <w:vertAlign w:val="baseline"/>
                <w:lang w:val="en-US"/>
              </w:rPr>
              <w:t>25</w:t>
            </w:r>
          </w:p>
        </w:tc>
        <w:tc>
          <w:tcPr>
            <w:tcW w:w="1607" w:type="dxa"/>
            <w:vAlign w:val="center"/>
          </w:tcPr>
          <w:p w14:paraId="615F1699">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rPr>
              <w:t>83%</w:t>
            </w:r>
          </w:p>
        </w:tc>
      </w:tr>
      <w:tr w14:paraId="0392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00E4E660">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rPr>
              <w:t>学</w:t>
            </w:r>
            <w:r>
              <w:rPr>
                <w:rFonts w:hint="default" w:ascii="Times New Roman" w:hAnsi="Times New Roman" w:eastAsia="仿宋_GB2312" w:cs="Times New Roman"/>
                <w:sz w:val="24"/>
                <w:szCs w:val="24"/>
                <w:lang w:val="en-US" w:eastAsia="zh-CN"/>
              </w:rPr>
              <w:t>早</w:t>
            </w:r>
            <w:r>
              <w:rPr>
                <w:rFonts w:hint="default" w:ascii="Times New Roman" w:hAnsi="Times New Roman" w:eastAsia="仿宋_GB2312" w:cs="Times New Roman"/>
                <w:sz w:val="24"/>
                <w:szCs w:val="24"/>
              </w:rPr>
              <w:t>系</w:t>
            </w:r>
          </w:p>
        </w:tc>
        <w:tc>
          <w:tcPr>
            <w:tcW w:w="1955" w:type="dxa"/>
            <w:vAlign w:val="center"/>
          </w:tcPr>
          <w:p w14:paraId="6A4F1FA1">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val="0"/>
                <w:bCs w:val="0"/>
                <w:i w:val="0"/>
                <w:spacing w:val="0"/>
                <w:sz w:val="24"/>
                <w:szCs w:val="24"/>
                <w:vertAlign w:val="baseline"/>
              </w:rPr>
            </w:pPr>
            <w:r>
              <w:rPr>
                <w:rFonts w:hint="default" w:ascii="Times New Roman" w:hAnsi="Times New Roman" w:eastAsia="仿宋_GB2312" w:cs="Times New Roman"/>
                <w:b w:val="0"/>
                <w:bCs w:val="0"/>
                <w:i w:val="0"/>
                <w:spacing w:val="0"/>
                <w:sz w:val="24"/>
                <w:szCs w:val="24"/>
                <w:vertAlign w:val="baseline"/>
              </w:rPr>
              <w:t>22</w:t>
            </w:r>
          </w:p>
        </w:tc>
        <w:tc>
          <w:tcPr>
            <w:tcW w:w="1912" w:type="dxa"/>
            <w:vAlign w:val="center"/>
          </w:tcPr>
          <w:p w14:paraId="7FF7C03C">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val="0"/>
                <w:bCs w:val="0"/>
                <w:i w:val="0"/>
                <w:spacing w:val="0"/>
                <w:sz w:val="24"/>
                <w:szCs w:val="24"/>
                <w:vertAlign w:val="baseline"/>
              </w:rPr>
            </w:pPr>
            <w:r>
              <w:rPr>
                <w:rFonts w:hint="default" w:ascii="Times New Roman" w:hAnsi="Times New Roman" w:eastAsia="仿宋_GB2312" w:cs="Times New Roman"/>
                <w:b w:val="0"/>
                <w:bCs w:val="0"/>
                <w:i w:val="0"/>
                <w:spacing w:val="0"/>
                <w:sz w:val="24"/>
                <w:szCs w:val="24"/>
                <w:vertAlign w:val="baseline"/>
              </w:rPr>
              <w:t>21</w:t>
            </w:r>
          </w:p>
        </w:tc>
        <w:tc>
          <w:tcPr>
            <w:tcW w:w="1607" w:type="dxa"/>
            <w:vAlign w:val="center"/>
          </w:tcPr>
          <w:p w14:paraId="3D74915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rPr>
              <w:t>95%</w:t>
            </w:r>
          </w:p>
        </w:tc>
      </w:tr>
      <w:tr w14:paraId="48E7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0F24C8E5">
            <w:pPr>
              <w:keepNext/>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val="0"/>
                <w:bCs w:val="0"/>
                <w:i w:val="0"/>
                <w:spacing w:val="0"/>
                <w:sz w:val="24"/>
                <w:szCs w:val="24"/>
                <w:vertAlign w:val="baseline"/>
                <w:lang w:val="en-US"/>
              </w:rPr>
            </w:pPr>
            <w:r>
              <w:rPr>
                <w:rFonts w:hint="default" w:ascii="Times New Roman" w:hAnsi="Times New Roman" w:eastAsia="仿宋_GB2312" w:cs="Times New Roman"/>
                <w:b w:val="0"/>
                <w:bCs w:val="0"/>
                <w:i w:val="0"/>
                <w:spacing w:val="0"/>
                <w:sz w:val="24"/>
                <w:szCs w:val="24"/>
                <w:vertAlign w:val="baseline"/>
                <w:lang w:val="en-US"/>
              </w:rPr>
              <w:t>艺术系</w:t>
            </w:r>
          </w:p>
        </w:tc>
        <w:tc>
          <w:tcPr>
            <w:tcW w:w="1955" w:type="dxa"/>
            <w:vAlign w:val="center"/>
          </w:tcPr>
          <w:p w14:paraId="7741DAE1">
            <w:pPr>
              <w:keepNext/>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10</w:t>
            </w:r>
          </w:p>
        </w:tc>
        <w:tc>
          <w:tcPr>
            <w:tcW w:w="1912" w:type="dxa"/>
            <w:vAlign w:val="center"/>
          </w:tcPr>
          <w:p w14:paraId="32DA8CF2">
            <w:pPr>
              <w:keepNext/>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10</w:t>
            </w:r>
          </w:p>
        </w:tc>
        <w:tc>
          <w:tcPr>
            <w:tcW w:w="1607" w:type="dxa"/>
            <w:vAlign w:val="center"/>
          </w:tcPr>
          <w:p w14:paraId="4AE6E0B5">
            <w:pPr>
              <w:keepNext/>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100%</w:t>
            </w:r>
          </w:p>
        </w:tc>
      </w:tr>
      <w:tr w14:paraId="6EA1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125FD753">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思政部</w:t>
            </w:r>
          </w:p>
        </w:tc>
        <w:tc>
          <w:tcPr>
            <w:tcW w:w="1955" w:type="dxa"/>
            <w:vAlign w:val="center"/>
          </w:tcPr>
          <w:p w14:paraId="16BCEF0D">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9</w:t>
            </w:r>
          </w:p>
        </w:tc>
        <w:tc>
          <w:tcPr>
            <w:tcW w:w="1912" w:type="dxa"/>
            <w:vAlign w:val="center"/>
          </w:tcPr>
          <w:p w14:paraId="6FA9877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7</w:t>
            </w:r>
          </w:p>
        </w:tc>
        <w:tc>
          <w:tcPr>
            <w:tcW w:w="1607" w:type="dxa"/>
            <w:vAlign w:val="center"/>
          </w:tcPr>
          <w:p w14:paraId="5023FEAE">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rPr>
              <w:t>78</w:t>
            </w:r>
            <w:r>
              <w:rPr>
                <w:rFonts w:hint="default" w:ascii="Times New Roman" w:hAnsi="Times New Roman" w:eastAsia="仿宋_GB2312" w:cs="Times New Roman"/>
                <w:sz w:val="24"/>
                <w:szCs w:val="24"/>
                <w:lang w:val="en-US" w:eastAsia="zh-CN"/>
              </w:rPr>
              <w:t>%</w:t>
            </w:r>
          </w:p>
        </w:tc>
      </w:tr>
      <w:tr w14:paraId="54AC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0BE0E854">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val="en-US" w:eastAsia="zh-CN"/>
              </w:rPr>
            </w:pPr>
            <w:r>
              <w:rPr>
                <w:rFonts w:hint="default" w:ascii="Times New Roman" w:hAnsi="Times New Roman" w:eastAsia="仿宋_GB2312" w:cs="Times New Roman"/>
                <w:b w:val="0"/>
                <w:bCs w:val="0"/>
                <w:i w:val="0"/>
                <w:spacing w:val="0"/>
                <w:sz w:val="24"/>
                <w:szCs w:val="24"/>
                <w:vertAlign w:val="baseline"/>
                <w:lang w:val="en-US" w:eastAsia="zh-CN"/>
              </w:rPr>
              <w:t>学特系</w:t>
            </w:r>
          </w:p>
        </w:tc>
        <w:tc>
          <w:tcPr>
            <w:tcW w:w="1955" w:type="dxa"/>
            <w:vAlign w:val="center"/>
          </w:tcPr>
          <w:p w14:paraId="414B023B">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lang w:val="en-US" w:eastAsia="zh-CN"/>
              </w:rPr>
              <w:t>5</w:t>
            </w:r>
          </w:p>
        </w:tc>
        <w:tc>
          <w:tcPr>
            <w:tcW w:w="1912" w:type="dxa"/>
            <w:vAlign w:val="center"/>
          </w:tcPr>
          <w:p w14:paraId="7ACDA866">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lang w:val="en-US" w:eastAsia="zh-CN"/>
              </w:rPr>
              <w:t>5</w:t>
            </w:r>
          </w:p>
        </w:tc>
        <w:tc>
          <w:tcPr>
            <w:tcW w:w="1607" w:type="dxa"/>
            <w:vAlign w:val="center"/>
          </w:tcPr>
          <w:p w14:paraId="3705EF0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b/>
                <w:bCs/>
                <w:i w:val="0"/>
                <w:spacing w:val="0"/>
                <w:sz w:val="24"/>
                <w:szCs w:val="24"/>
                <w:vertAlign w:val="baseline"/>
                <w:lang w:eastAsia="zh-CN"/>
              </w:rPr>
            </w:pPr>
            <w:r>
              <w:rPr>
                <w:rFonts w:hint="default" w:ascii="Times New Roman" w:hAnsi="Times New Roman" w:eastAsia="仿宋_GB2312" w:cs="Times New Roman"/>
                <w:sz w:val="24"/>
                <w:szCs w:val="24"/>
                <w:lang w:val="en-US" w:eastAsia="zh-CN"/>
              </w:rPr>
              <w:t>100</w:t>
            </w:r>
            <w:r>
              <w:rPr>
                <w:rFonts w:hint="default" w:ascii="Times New Roman" w:hAnsi="Times New Roman" w:eastAsia="仿宋_GB2312" w:cs="Times New Roman"/>
                <w:sz w:val="24"/>
                <w:szCs w:val="24"/>
              </w:rPr>
              <w:t>%</w:t>
            </w:r>
          </w:p>
        </w:tc>
      </w:tr>
      <w:tr w14:paraId="1EC2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91" w:type="dxa"/>
            <w:vAlign w:val="center"/>
          </w:tcPr>
          <w:p w14:paraId="5E626DF9">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基础部</w:t>
            </w:r>
          </w:p>
        </w:tc>
        <w:tc>
          <w:tcPr>
            <w:tcW w:w="1955" w:type="dxa"/>
            <w:vAlign w:val="center"/>
          </w:tcPr>
          <w:p w14:paraId="6FB1CD49">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1912" w:type="dxa"/>
            <w:vAlign w:val="center"/>
          </w:tcPr>
          <w:p w14:paraId="5558EC47">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1607" w:type="dxa"/>
            <w:vAlign w:val="center"/>
          </w:tcPr>
          <w:p w14:paraId="0CD28CE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w:t>
            </w:r>
          </w:p>
        </w:tc>
      </w:tr>
      <w:tr w14:paraId="6532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jc w:val="center"/>
        </w:trPr>
        <w:tc>
          <w:tcPr>
            <w:tcW w:w="1791" w:type="dxa"/>
            <w:vAlign w:val="center"/>
          </w:tcPr>
          <w:p w14:paraId="01BEDA39">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社工系</w:t>
            </w:r>
          </w:p>
        </w:tc>
        <w:tc>
          <w:tcPr>
            <w:tcW w:w="1955" w:type="dxa"/>
            <w:vAlign w:val="center"/>
          </w:tcPr>
          <w:p w14:paraId="7C3BACA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1912" w:type="dxa"/>
            <w:vAlign w:val="center"/>
          </w:tcPr>
          <w:p w14:paraId="02E8739A">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1607" w:type="dxa"/>
            <w:vAlign w:val="center"/>
          </w:tcPr>
          <w:p w14:paraId="1C18EFA7">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75%</w:t>
            </w:r>
          </w:p>
        </w:tc>
      </w:tr>
      <w:tr w14:paraId="6845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791" w:type="dxa"/>
            <w:vAlign w:val="center"/>
          </w:tcPr>
          <w:p w14:paraId="307356DB">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学工处</w:t>
            </w:r>
          </w:p>
        </w:tc>
        <w:tc>
          <w:tcPr>
            <w:tcW w:w="1955" w:type="dxa"/>
            <w:vAlign w:val="center"/>
          </w:tcPr>
          <w:p w14:paraId="735FA8F9">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w:t>
            </w:r>
          </w:p>
        </w:tc>
        <w:tc>
          <w:tcPr>
            <w:tcW w:w="1912" w:type="dxa"/>
            <w:vAlign w:val="center"/>
          </w:tcPr>
          <w:p w14:paraId="39BB04C8">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w:t>
            </w:r>
          </w:p>
        </w:tc>
        <w:tc>
          <w:tcPr>
            <w:tcW w:w="1607" w:type="dxa"/>
            <w:vAlign w:val="center"/>
          </w:tcPr>
          <w:p w14:paraId="48508AE6">
            <w:pPr>
              <w:keepNext/>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w:t>
            </w:r>
          </w:p>
        </w:tc>
      </w:tr>
    </w:tbl>
    <w:p w14:paraId="1A68F5E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i w:val="0"/>
          <w:color w:val="auto"/>
          <w:sz w:val="32"/>
          <w:szCs w:val="32"/>
          <w:u w:val="none"/>
        </w:rPr>
      </w:pPr>
      <w:r>
        <w:rPr>
          <w:rFonts w:hint="default" w:ascii="Times New Roman" w:hAnsi="Times New Roman" w:eastAsia="仿宋_GB2312" w:cs="Times New Roman"/>
          <w:b w:val="0"/>
          <w:i w:val="0"/>
          <w:color w:val="auto"/>
          <w:sz w:val="32"/>
          <w:szCs w:val="32"/>
          <w:u w:val="none"/>
        </w:rPr>
        <w:br w:type="page"/>
      </w:r>
    </w:p>
    <w:p w14:paraId="2002E922">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line="560" w:lineRule="exact"/>
        <w:ind w:right="0" w:rightChars="0" w:firstLine="640" w:firstLineChars="200"/>
        <w:jc w:val="both"/>
        <w:textAlignment w:val="auto"/>
        <w:rPr>
          <w:rFonts w:hint="default" w:ascii="Times New Roman" w:hAnsi="Times New Roman" w:eastAsia="仿宋_GB2312" w:cs="Times New Roman"/>
          <w:b w:val="0"/>
          <w:i w:val="0"/>
          <w:color w:val="auto"/>
          <w:sz w:val="32"/>
          <w:szCs w:val="32"/>
          <w:u w:val="none"/>
          <w:lang w:val="en-US" w:eastAsia="zh-CN" w:bidi="ar-SA"/>
        </w:rPr>
      </w:pPr>
      <w:r>
        <w:rPr>
          <w:rFonts w:hint="default" w:ascii="Times New Roman" w:hAnsi="Times New Roman" w:eastAsia="仿宋_GB2312" w:cs="Times New Roman"/>
          <w:b w:val="0"/>
          <w:i w:val="0"/>
          <w:color w:val="auto"/>
          <w:sz w:val="32"/>
          <w:szCs w:val="32"/>
          <w:u w:val="none"/>
        </w:rPr>
        <w:t>各系部排课工作整体推进有序</w:t>
      </w:r>
      <w:r>
        <w:rPr>
          <w:rFonts w:hint="default" w:ascii="Times New Roman" w:hAnsi="Times New Roman" w:eastAsia="仿宋_GB2312" w:cs="Times New Roman"/>
          <w:b w:val="0"/>
          <w:i w:val="0"/>
          <w:color w:val="auto"/>
          <w:sz w:val="32"/>
          <w:szCs w:val="32"/>
          <w:u w:val="none"/>
          <w:lang w:eastAsia="zh-CN"/>
        </w:rPr>
        <w:t>，</w:t>
      </w:r>
      <w:r>
        <w:rPr>
          <w:rFonts w:hint="default" w:ascii="Times New Roman" w:hAnsi="Times New Roman" w:eastAsia="仿宋_GB2312" w:cs="Times New Roman"/>
          <w:b w:val="0"/>
          <w:i w:val="0"/>
          <w:color w:val="auto"/>
          <w:sz w:val="32"/>
          <w:szCs w:val="32"/>
          <w:u w:val="none"/>
        </w:rPr>
        <w:t>其中体育系排课工作成效显著提升</w:t>
      </w:r>
      <w:r>
        <w:rPr>
          <w:rFonts w:hint="default" w:ascii="Times New Roman" w:hAnsi="Times New Roman" w:eastAsia="仿宋_GB2312" w:cs="Times New Roman"/>
          <w:b w:val="0"/>
          <w:i w:val="0"/>
          <w:color w:val="auto"/>
          <w:sz w:val="32"/>
          <w:szCs w:val="32"/>
          <w:u w:val="none"/>
          <w:lang w:eastAsia="zh-CN"/>
        </w:rPr>
        <w:t>，</w:t>
      </w:r>
      <w:r>
        <w:rPr>
          <w:rFonts w:hint="default" w:ascii="Times New Roman" w:hAnsi="Times New Roman" w:eastAsia="仿宋_GB2312" w:cs="Times New Roman"/>
          <w:b w:val="0"/>
          <w:i w:val="0"/>
          <w:color w:val="auto"/>
          <w:sz w:val="32"/>
          <w:szCs w:val="32"/>
          <w:u w:val="none"/>
        </w:rPr>
        <w:t>完成30节课安排</w:t>
      </w:r>
      <w:r>
        <w:rPr>
          <w:rFonts w:hint="default" w:ascii="Times New Roman" w:hAnsi="Times New Roman" w:eastAsia="仿宋_GB2312" w:cs="Times New Roman"/>
          <w:b w:val="0"/>
          <w:i w:val="0"/>
          <w:color w:val="auto"/>
          <w:sz w:val="32"/>
          <w:szCs w:val="32"/>
          <w:u w:val="none"/>
          <w:lang w:eastAsia="zh-CN"/>
        </w:rPr>
        <w:t>，</w:t>
      </w:r>
      <w:r>
        <w:rPr>
          <w:rFonts w:hint="default" w:ascii="Times New Roman" w:hAnsi="Times New Roman" w:eastAsia="仿宋_GB2312" w:cs="Times New Roman"/>
          <w:b w:val="0"/>
          <w:i w:val="0"/>
          <w:color w:val="auto"/>
          <w:sz w:val="32"/>
          <w:szCs w:val="32"/>
          <w:u w:val="none"/>
        </w:rPr>
        <w:t>报告生成率达83%</w:t>
      </w:r>
      <w:r>
        <w:rPr>
          <w:rFonts w:hint="default" w:ascii="Times New Roman" w:hAnsi="Times New Roman" w:eastAsia="仿宋_GB2312" w:cs="Times New Roman"/>
          <w:b w:val="0"/>
          <w:i w:val="0"/>
          <w:color w:val="auto"/>
          <w:sz w:val="32"/>
          <w:szCs w:val="32"/>
          <w:u w:val="none"/>
          <w:lang w:eastAsia="zh-CN"/>
        </w:rPr>
        <w:t>；</w:t>
      </w:r>
      <w:r>
        <w:rPr>
          <w:rFonts w:hint="default" w:ascii="Times New Roman" w:hAnsi="Times New Roman" w:eastAsia="仿宋_GB2312" w:cs="Times New Roman"/>
          <w:b w:val="0"/>
          <w:i w:val="0"/>
          <w:color w:val="auto"/>
          <w:sz w:val="32"/>
          <w:szCs w:val="32"/>
          <w:u w:val="none"/>
        </w:rPr>
        <w:t>艺术系、学</w:t>
      </w:r>
      <w:r>
        <w:rPr>
          <w:rFonts w:hint="default" w:ascii="Times New Roman" w:hAnsi="Times New Roman" w:eastAsia="仿宋_GB2312" w:cs="Times New Roman"/>
          <w:b w:val="0"/>
          <w:i w:val="0"/>
          <w:color w:val="auto"/>
          <w:sz w:val="32"/>
          <w:szCs w:val="32"/>
          <w:u w:val="none"/>
          <w:lang w:val="en-US" w:eastAsia="zh-CN"/>
        </w:rPr>
        <w:t>特</w:t>
      </w:r>
      <w:r>
        <w:rPr>
          <w:rFonts w:hint="default" w:ascii="Times New Roman" w:hAnsi="Times New Roman" w:eastAsia="仿宋_GB2312" w:cs="Times New Roman"/>
          <w:b w:val="0"/>
          <w:i w:val="0"/>
          <w:color w:val="auto"/>
          <w:sz w:val="32"/>
          <w:szCs w:val="32"/>
          <w:u w:val="none"/>
        </w:rPr>
        <w:t>系、基础部报告生成率达到100%，</w:t>
      </w:r>
      <w:r>
        <w:rPr>
          <w:rFonts w:hint="default" w:ascii="Times New Roman" w:hAnsi="Times New Roman" w:eastAsia="仿宋_GB2312" w:cs="Times New Roman"/>
          <w:b w:val="0"/>
          <w:i w:val="0"/>
          <w:color w:val="auto"/>
          <w:sz w:val="32"/>
          <w:szCs w:val="32"/>
          <w:u w:val="none"/>
          <w:lang w:val="en-US" w:eastAsia="zh-CN"/>
        </w:rPr>
        <w:t>平台</w:t>
      </w:r>
      <w:r>
        <w:rPr>
          <w:rFonts w:hint="default" w:ascii="Times New Roman" w:hAnsi="Times New Roman" w:eastAsia="仿宋_GB2312" w:cs="Times New Roman"/>
          <w:b w:val="0"/>
          <w:i w:val="0"/>
          <w:color w:val="auto"/>
          <w:sz w:val="32"/>
          <w:szCs w:val="32"/>
          <w:u w:val="none"/>
        </w:rPr>
        <w:t>整体运行平稳。</w:t>
      </w:r>
      <w:r>
        <w:rPr>
          <w:rFonts w:hint="default" w:ascii="Times New Roman" w:hAnsi="Times New Roman" w:eastAsia="仿宋_GB2312" w:cs="Times New Roman"/>
          <w:b w:val="0"/>
          <w:i w:val="0"/>
          <w:color w:val="auto"/>
          <w:sz w:val="32"/>
          <w:szCs w:val="32"/>
          <w:u w:val="none"/>
          <w:lang w:val="en-US" w:eastAsia="zh-CN"/>
        </w:rPr>
        <w:t>体育系、学早系、思政部、社工系</w:t>
      </w:r>
      <w:r>
        <w:rPr>
          <w:rFonts w:hint="default" w:ascii="Times New Roman" w:hAnsi="Times New Roman" w:eastAsia="仿宋_GB2312" w:cs="Times New Roman"/>
          <w:b w:val="0"/>
          <w:i w:val="0"/>
          <w:color w:val="auto"/>
          <w:sz w:val="32"/>
          <w:szCs w:val="32"/>
          <w:u w:val="none"/>
        </w:rPr>
        <w:t>报告生成率未达 100%，主要</w:t>
      </w:r>
      <w:r>
        <w:rPr>
          <w:rFonts w:hint="default" w:ascii="Times New Roman" w:hAnsi="Times New Roman" w:eastAsia="仿宋_GB2312" w:cs="Times New Roman"/>
          <w:b w:val="0"/>
          <w:i w:val="0"/>
          <w:color w:val="auto"/>
          <w:sz w:val="32"/>
          <w:szCs w:val="32"/>
          <w:u w:val="none"/>
          <w:lang w:val="en-US" w:eastAsia="zh-CN"/>
        </w:rPr>
        <w:t>是受网络不稳定导致系统分析失败；</w:t>
      </w:r>
      <w:r>
        <w:rPr>
          <w:rFonts w:hint="default" w:ascii="Times New Roman" w:hAnsi="Times New Roman" w:eastAsia="仿宋_GB2312" w:cs="Times New Roman"/>
          <w:b w:val="0"/>
          <w:i w:val="0"/>
          <w:color w:val="auto"/>
          <w:sz w:val="32"/>
          <w:szCs w:val="32"/>
          <w:u w:val="none"/>
        </w:rPr>
        <w:t>学工</w:t>
      </w:r>
      <w:r>
        <w:rPr>
          <w:rFonts w:hint="default" w:ascii="Times New Roman" w:hAnsi="Times New Roman" w:eastAsia="仿宋_GB2312" w:cs="Times New Roman"/>
          <w:b w:val="0"/>
          <w:i w:val="0"/>
          <w:color w:val="auto"/>
          <w:sz w:val="32"/>
          <w:szCs w:val="32"/>
          <w:u w:val="none"/>
          <w:lang w:val="en-US" w:eastAsia="zh-CN"/>
        </w:rPr>
        <w:t>处</w:t>
      </w:r>
      <w:r>
        <w:rPr>
          <w:rFonts w:hint="default" w:ascii="Times New Roman" w:hAnsi="Times New Roman" w:eastAsia="仿宋_GB2312" w:cs="Times New Roman"/>
          <w:b w:val="0"/>
          <w:i w:val="0"/>
          <w:color w:val="auto"/>
          <w:sz w:val="32"/>
          <w:szCs w:val="32"/>
          <w:u w:val="none"/>
        </w:rPr>
        <w:t>因开学期间工作繁忙</w:t>
      </w:r>
      <w:r>
        <w:rPr>
          <w:rFonts w:hint="default" w:ascii="Times New Roman" w:hAnsi="Times New Roman" w:eastAsia="仿宋_GB2312" w:cs="Times New Roman"/>
          <w:b w:val="0"/>
          <w:i w:val="0"/>
          <w:color w:val="auto"/>
          <w:sz w:val="32"/>
          <w:szCs w:val="32"/>
          <w:u w:val="none"/>
          <w:lang w:eastAsia="zh-CN"/>
        </w:rPr>
        <w:t>，未能在本周期内完成排课，</w:t>
      </w:r>
      <w:r>
        <w:rPr>
          <w:rFonts w:hint="default" w:ascii="Times New Roman" w:hAnsi="Times New Roman" w:eastAsia="仿宋_GB2312" w:cs="Times New Roman"/>
          <w:b w:val="0"/>
          <w:i w:val="0"/>
          <w:color w:val="auto"/>
          <w:sz w:val="32"/>
          <w:szCs w:val="32"/>
          <w:u w:val="none"/>
          <w:lang w:val="en-US" w:eastAsia="zh-CN"/>
        </w:rPr>
        <w:t>质监中心对接后将</w:t>
      </w:r>
      <w:r>
        <w:rPr>
          <w:rFonts w:hint="default" w:ascii="Times New Roman" w:hAnsi="Times New Roman" w:eastAsia="仿宋_GB2312" w:cs="Times New Roman"/>
          <w:b w:val="0"/>
          <w:i w:val="0"/>
          <w:color w:val="auto"/>
          <w:sz w:val="32"/>
          <w:szCs w:val="32"/>
          <w:u w:val="none"/>
        </w:rPr>
        <w:t>于 4月启动排课。</w:t>
      </w:r>
    </w:p>
    <w:p w14:paraId="3462896B">
      <w:pPr>
        <w:pStyle w:val="4"/>
        <w:keepNext w:val="0"/>
        <w:keepLines w:val="0"/>
        <w:pageBreakBefore w:val="0"/>
        <w:widowControl w:val="0"/>
        <w:numPr>
          <w:ilvl w:val="0"/>
          <w:numId w:val="1"/>
        </w:numPr>
        <w:kinsoku/>
        <w:wordWrap w:val="0"/>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AI评价具体情况</w:t>
      </w:r>
    </w:p>
    <w:p w14:paraId="134B1055">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通过对71份课堂报告的分析，发现当前课堂教学存在四个共性突出问题：</w:t>
      </w:r>
    </w:p>
    <w:p w14:paraId="7ACEC166">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bCs/>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问题一：教师讲得多，学生参与少</w:t>
      </w:r>
    </w:p>
    <w:p w14:paraId="61CB5251">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AI通过分析教师行为与学生行为的时间占比来判断课堂模式。结果显示，所有被评估的课堂都属于“教师讲、学生听”的单向讲授型。教师讲解占据绝对主导，学生发言、讨论、练习的时间很少。如</w:t>
      </w:r>
      <w:r>
        <w:rPr>
          <w:rFonts w:hint="default" w:ascii="Times New Roman" w:hAnsi="Times New Roman" w:eastAsia="仿宋_GB2312" w:cs="Times New Roman"/>
          <w:b/>
          <w:bCs/>
          <w:i w:val="0"/>
          <w:spacing w:val="0"/>
          <w:sz w:val="32"/>
          <w:szCs w:val="32"/>
          <w:lang w:val="en-US" w:eastAsia="zh-CN"/>
        </w:rPr>
        <w:t>张利平老师的《运动损伤与防护》《运动解剖学》、建菊老师的《幼儿园教育活动设计指导》</w:t>
      </w:r>
      <w:r>
        <w:rPr>
          <w:rFonts w:hint="default" w:ascii="Times New Roman" w:hAnsi="Times New Roman" w:eastAsia="仿宋_GB2312" w:cs="Times New Roman"/>
          <w:b w:val="0"/>
          <w:bCs w:val="0"/>
          <w:i w:val="0"/>
          <w:spacing w:val="0"/>
          <w:sz w:val="32"/>
          <w:szCs w:val="32"/>
          <w:lang w:val="en-US" w:eastAsia="zh-CN"/>
        </w:rPr>
        <w:t>等课程，学生行为占比为0%——整节课只有教师在讲，学生没有机会表达或操作。少数有学生行为的课堂，占比也普遍低于30%。</w:t>
      </w:r>
      <w:r>
        <w:rPr>
          <w:rFonts w:hint="default" w:ascii="Times New Roman" w:hAnsi="Times New Roman" w:eastAsia="仿宋_GB2312" w:cs="Times New Roman"/>
          <w:b/>
          <w:bCs/>
          <w:i w:val="0"/>
          <w:spacing w:val="0"/>
          <w:sz w:val="32"/>
          <w:szCs w:val="32"/>
          <w:lang w:val="en-US" w:eastAsia="zh-CN"/>
        </w:rPr>
        <w:t>如黄倩老师的《学前教育学》</w:t>
      </w:r>
      <w:r>
        <w:rPr>
          <w:rFonts w:hint="default" w:ascii="Times New Roman" w:hAnsi="Times New Roman" w:eastAsia="仿宋_GB2312" w:cs="Times New Roman"/>
          <w:b w:val="0"/>
          <w:bCs w:val="0"/>
          <w:i w:val="0"/>
          <w:spacing w:val="0"/>
          <w:sz w:val="32"/>
          <w:szCs w:val="32"/>
          <w:lang w:val="en-US" w:eastAsia="zh-CN"/>
        </w:rPr>
        <w:t>学生行为占23.44%，</w:t>
      </w:r>
      <w:r>
        <w:rPr>
          <w:rFonts w:hint="default" w:ascii="Times New Roman" w:hAnsi="Times New Roman" w:eastAsia="仿宋_GB2312" w:cs="Times New Roman"/>
          <w:b/>
          <w:bCs/>
          <w:i w:val="0"/>
          <w:spacing w:val="0"/>
          <w:sz w:val="32"/>
          <w:szCs w:val="32"/>
          <w:lang w:val="en-US" w:eastAsia="zh-CN"/>
        </w:rPr>
        <w:t>田昌霞老师和朱梦黎老师的《幼儿园班级管理》</w:t>
      </w:r>
      <w:r>
        <w:rPr>
          <w:rFonts w:hint="default" w:ascii="Times New Roman" w:hAnsi="Times New Roman" w:eastAsia="仿宋_GB2312" w:cs="Times New Roman"/>
          <w:b w:val="0"/>
          <w:bCs w:val="0"/>
          <w:i w:val="0"/>
          <w:spacing w:val="0"/>
          <w:sz w:val="32"/>
          <w:szCs w:val="32"/>
          <w:lang w:val="en-US" w:eastAsia="zh-CN"/>
        </w:rPr>
        <w:t>分别为28.88%和28.98%。根据AI分析，学生行为占比低于30%的课堂属于典型的“讲授型”课堂，未达到“混合型”或“对话型”课堂学生行为占比超过30%的要求。</w:t>
      </w:r>
    </w:p>
    <w:p w14:paraId="30DF5EA2">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【原因分析】</w:t>
      </w:r>
      <w:r>
        <w:rPr>
          <w:rFonts w:hint="default" w:ascii="Times New Roman" w:hAnsi="Times New Roman" w:eastAsia="仿宋_GB2312" w:cs="Times New Roman"/>
          <w:b w:val="0"/>
          <w:bCs w:val="0"/>
          <w:i w:val="0"/>
          <w:spacing w:val="0"/>
          <w:sz w:val="32"/>
          <w:szCs w:val="32"/>
          <w:lang w:val="en-US" w:eastAsia="zh-CN"/>
        </w:rPr>
        <w:t>一是教师习惯于“我讲你听”的舒适区，认为讲完就是教完。二是教师缺乏把课堂还给学生的设计能力和方法储备，不知道如何组织有效的学生活动。三是部分合班课的现实也让一些教师担心，以学生为中心的组织形式会“放出去收不回来”。</w:t>
      </w:r>
    </w:p>
    <w:p w14:paraId="74F0E82D">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bCs/>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问题二：互动形式单一，浅层问答多</w:t>
      </w:r>
    </w:p>
    <w:p w14:paraId="427F8432">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AI数据分析显示，当前课堂互动普遍存在形式固化、深度思考少的问题。多数互动停留在“教师提问—学生应答”的快速问答模式，缺少小组讨论、生生互评、情景模拟等多样化的互动形式。从问答内容来看，大量问题是事实性、记忆性的低阶问题，学生只需简单应答，缺乏分析、评价、创造等高阶思维参与。如</w:t>
      </w:r>
      <w:r>
        <w:rPr>
          <w:rFonts w:hint="default" w:ascii="Times New Roman" w:hAnsi="Times New Roman" w:eastAsia="仿宋_GB2312" w:cs="Times New Roman"/>
          <w:b/>
          <w:bCs/>
          <w:i w:val="0"/>
          <w:spacing w:val="0"/>
          <w:sz w:val="32"/>
          <w:szCs w:val="32"/>
          <w:lang w:val="en-US" w:eastAsia="zh-CN"/>
        </w:rPr>
        <w:t>田昌霞老师的课堂</w:t>
      </w:r>
      <w:r>
        <w:rPr>
          <w:rFonts w:hint="default" w:ascii="Times New Roman" w:hAnsi="Times New Roman" w:eastAsia="仿宋_GB2312" w:cs="Times New Roman"/>
          <w:b w:val="0"/>
          <w:bCs w:val="0"/>
          <w:i w:val="0"/>
          <w:spacing w:val="0"/>
          <w:sz w:val="32"/>
          <w:szCs w:val="32"/>
          <w:lang w:val="en-US" w:eastAsia="zh-CN"/>
        </w:rPr>
        <w:t>，虽然师生问答高达40次，但平均每次问答仅34秒，说明互动多为“是/不是”“对/不对”的浅层应答；</w:t>
      </w:r>
      <w:r>
        <w:rPr>
          <w:rFonts w:hint="default" w:ascii="Times New Roman" w:hAnsi="Times New Roman" w:eastAsia="仿宋_GB2312" w:cs="Times New Roman"/>
          <w:b/>
          <w:bCs/>
          <w:i w:val="0"/>
          <w:spacing w:val="0"/>
          <w:sz w:val="32"/>
          <w:szCs w:val="32"/>
          <w:lang w:val="en-US" w:eastAsia="zh-CN"/>
        </w:rPr>
        <w:t>李诗薇老师的《老年健康照护》</w:t>
      </w:r>
      <w:r>
        <w:rPr>
          <w:rFonts w:hint="default" w:ascii="Times New Roman" w:hAnsi="Times New Roman" w:eastAsia="仿宋_GB2312" w:cs="Times New Roman"/>
          <w:b w:val="0"/>
          <w:bCs w:val="0"/>
          <w:i w:val="0"/>
          <w:spacing w:val="0"/>
          <w:sz w:val="32"/>
          <w:szCs w:val="32"/>
          <w:lang w:val="en-US" w:eastAsia="zh-CN"/>
        </w:rPr>
        <w:t>师生问答14次，学生发言总时长3.57分钟，人均发言时间极短，互动也是简单应答，缺乏深度交流。</w:t>
      </w:r>
    </w:p>
    <w:p w14:paraId="51E5DD1A">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bCs/>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【原因分析】</w:t>
      </w:r>
      <w:r>
        <w:rPr>
          <w:rFonts w:hint="default" w:ascii="Times New Roman" w:hAnsi="Times New Roman" w:eastAsia="仿宋_GB2312" w:cs="Times New Roman"/>
          <w:b w:val="0"/>
          <w:bCs w:val="0"/>
          <w:i w:val="0"/>
          <w:spacing w:val="0"/>
          <w:sz w:val="32"/>
          <w:szCs w:val="32"/>
          <w:lang w:val="en-US" w:eastAsia="zh-CN"/>
        </w:rPr>
        <w:t>教师对“互动”的理解往往局限于“提问—回答”，缺乏对多样化互动形式的设计与组织能力。同时，部分教师担心深度互动会占用教学时间、影响进度，因此倾向于用快速问答的形式推进教学进程，呈现课堂的浅层活跃状态。</w:t>
      </w:r>
    </w:p>
    <w:p w14:paraId="2795DBDF">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bCs/>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问题三：AI专注度评分存在虚高，课堂管理缺失</w:t>
      </w:r>
    </w:p>
    <w:p w14:paraId="38DC0A63">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当前AI的“专注度”算法主要依据学生头部是否朝向讲台、面部是否正向。如果学生低着头（哪怕是玩手机或睡觉），只要头部相对稳定，系统仍可能判定为“专注”。这就导致课堂出现这样一种矛盾现象：AI给出的课堂专注度评分普遍较高（多在7.0以上），但同时记录到大规模、长时间的学生低头、交头接耳、趴桌睡觉等行为。如</w:t>
      </w:r>
      <w:r>
        <w:rPr>
          <w:rFonts w:hint="default" w:ascii="Times New Roman" w:hAnsi="Times New Roman" w:eastAsia="仿宋_GB2312" w:cs="Times New Roman"/>
          <w:b/>
          <w:bCs/>
          <w:i w:val="0"/>
          <w:spacing w:val="0"/>
          <w:sz w:val="32"/>
          <w:szCs w:val="32"/>
          <w:lang w:val="en-US" w:eastAsia="zh-CN"/>
        </w:rPr>
        <w:t>翟倩老师</w:t>
      </w:r>
      <w:r>
        <w:rPr>
          <w:rFonts w:hint="default" w:ascii="Times New Roman" w:hAnsi="Times New Roman" w:eastAsia="仿宋_GB2312" w:cs="Times New Roman"/>
          <w:b w:val="0"/>
          <w:bCs w:val="0"/>
          <w:i w:val="0"/>
          <w:spacing w:val="0"/>
          <w:sz w:val="32"/>
          <w:szCs w:val="32"/>
          <w:lang w:val="en-US" w:eastAsia="zh-CN"/>
        </w:rPr>
        <w:t>的《大学语文》，低头问题累积79分钟，最高45人次，系统专注度评分为8.25；</w:t>
      </w:r>
      <w:r>
        <w:rPr>
          <w:rFonts w:hint="default" w:ascii="Times New Roman" w:hAnsi="Times New Roman" w:eastAsia="仿宋_GB2312" w:cs="Times New Roman"/>
          <w:b/>
          <w:bCs/>
          <w:i w:val="0"/>
          <w:spacing w:val="0"/>
          <w:sz w:val="32"/>
          <w:szCs w:val="32"/>
          <w:lang w:val="en-US" w:eastAsia="zh-CN"/>
        </w:rPr>
        <w:t>郭红霞老师</w:t>
      </w:r>
      <w:r>
        <w:rPr>
          <w:rFonts w:hint="default" w:ascii="Times New Roman" w:hAnsi="Times New Roman" w:eastAsia="仿宋_GB2312" w:cs="Times New Roman"/>
          <w:b w:val="0"/>
          <w:bCs w:val="0"/>
          <w:i w:val="0"/>
          <w:spacing w:val="0"/>
          <w:sz w:val="32"/>
          <w:szCs w:val="32"/>
          <w:lang w:val="en-US" w:eastAsia="zh-CN"/>
        </w:rPr>
        <w:t>的《习近平新时代中国特色社会主义思想概论》，低头问题累积79分钟，最高达85人次，系统专注度评分为7.3。更值得关注的是，面对普遍的低头现象，多数教师的干预次数为0次或仅有1-2次，虽进行了简单的口头提醒，但问题依然存在，教师需要更有效的课堂管理策略。</w:t>
      </w:r>
    </w:p>
    <w:p w14:paraId="344098D1">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【原因分析】</w:t>
      </w:r>
      <w:r>
        <w:rPr>
          <w:rFonts w:hint="default" w:ascii="Times New Roman" w:hAnsi="Times New Roman" w:eastAsia="仿宋_GB2312" w:cs="Times New Roman"/>
          <w:b w:val="0"/>
          <w:bCs w:val="0"/>
          <w:i w:val="0"/>
          <w:spacing w:val="0"/>
          <w:sz w:val="32"/>
          <w:szCs w:val="32"/>
          <w:lang w:val="en-US" w:eastAsia="zh-CN"/>
        </w:rPr>
        <w:t>一是当前AI算法无法有效区分“低头看书/做笔记”与“低头玩手机/睡觉”，导致评分失真。二是教师对学生回应敏感度不足，习惯性地认为“不出声就是守纪律”，忽视了学生大面积走神、游离的问题。同时也缺乏有效的干预手段（如走动管理、任务驱动、即时提问等）。三是课堂设计的质量还有待提升，当教学内容枯燥、互动缺失时，学生自然容易走神，教师需要从根源上提升课堂吸引力。</w:t>
      </w:r>
    </w:p>
    <w:p w14:paraId="051640EA">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bCs/>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问题四：系部之间、教师之间教学评分差异显著</w:t>
      </w:r>
    </w:p>
    <w:p w14:paraId="2C32F853">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整体上看，各系部在课堂环境和教师综合评分上表现尚可，但内部差异很大。同一系部内部，教师综合评分的最大分差达到2.49分。这说明教学能力不均衡的问题在各系部普遍存在，教师亟需分层分类帮扶。</w:t>
      </w:r>
    </w:p>
    <w:p w14:paraId="6BE96161">
      <w:pPr>
        <w:pStyle w:val="14"/>
        <w:keepNext w:val="0"/>
        <w:keepLines w:val="0"/>
        <w:pageBreakBefore w:val="0"/>
        <w:widowControl/>
        <w:numPr>
          <w:ilvl w:val="0"/>
          <w:numId w:val="0"/>
        </w:numPr>
        <w:kinsoku w:val="0"/>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【原因分析】</w:t>
      </w:r>
      <w:r>
        <w:rPr>
          <w:rFonts w:hint="default" w:ascii="Times New Roman" w:hAnsi="Times New Roman" w:eastAsia="仿宋_GB2312" w:cs="Times New Roman"/>
          <w:b w:val="0"/>
          <w:bCs w:val="0"/>
          <w:i w:val="0"/>
          <w:spacing w:val="0"/>
          <w:sz w:val="32"/>
          <w:szCs w:val="32"/>
          <w:lang w:val="en-US" w:eastAsia="zh-CN"/>
        </w:rPr>
        <w:t>一是教师个体差异。教学经验、学科素养、课堂掌控能力、教学方法储备等方面的不同，导致教学效果参差不齐。二是系部教研质量差异。有的系部集体备课、同行听课、教学研讨开展得扎实有效，教师成长快；有的系部则相对松散，教师缺乏交流和反馈。三是新老教师传帮带机制不健全，新教师或教学薄弱教师未能得到及时有效的指导。</w:t>
      </w:r>
    </w:p>
    <w:p w14:paraId="43DB2D23">
      <w:pPr>
        <w:pStyle w:val="4"/>
        <w:keepNext w:val="0"/>
        <w:keepLines w:val="0"/>
        <w:pageBreakBefore w:val="0"/>
        <w:widowControl w:val="0"/>
        <w:numPr>
          <w:ilvl w:val="0"/>
          <w:numId w:val="0"/>
        </w:numPr>
        <w:kinsoku/>
        <w:wordWrap w:val="0"/>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三、整改意见</w:t>
      </w:r>
    </w:p>
    <w:p w14:paraId="2B40E918">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AI评教的核心价值不在于给出一个简单的分数，而在于通过数据穿透表象，定位教学中的“实际问题”，以问题为导向促进教学改进。针对以上问题，教学改进建议如下：</w:t>
      </w:r>
    </w:p>
    <w:p w14:paraId="44E86BB3">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1.调整教学结构，增加学生参与机会。</w:t>
      </w:r>
      <w:r>
        <w:rPr>
          <w:rFonts w:hint="default" w:ascii="Times New Roman" w:hAnsi="Times New Roman" w:eastAsia="仿宋_GB2312" w:cs="Times New Roman"/>
          <w:b w:val="0"/>
          <w:bCs w:val="0"/>
          <w:i w:val="0"/>
          <w:spacing w:val="0"/>
          <w:sz w:val="32"/>
          <w:szCs w:val="32"/>
          <w:lang w:val="en-US" w:eastAsia="zh-CN"/>
        </w:rPr>
        <w:t>各系部应引导教师从“以教为中心”转向“以学为中心”，通过教研活动探讨如何在课堂中嵌入学生自主学习的环节，逐步提高学生行为占比。通过定期提供AI数据反馈和分析，帮助教师看到自己的改进空间。</w:t>
      </w:r>
      <w:r>
        <w:rPr>
          <w:rFonts w:hint="default" w:ascii="Times New Roman" w:hAnsi="Times New Roman" w:eastAsia="仿宋_GB2312" w:cs="Times New Roman"/>
          <w:b/>
          <w:bCs/>
          <w:i w:val="0"/>
          <w:spacing w:val="0"/>
          <w:sz w:val="32"/>
          <w:szCs w:val="32"/>
          <w:lang w:val="en-US" w:eastAsia="zh-CN"/>
        </w:rPr>
        <w:t>【整改单位：各系部、质量监控评价中心】</w:t>
      </w:r>
    </w:p>
    <w:p w14:paraId="739CB5E5">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2.丰富互动形式，提升互动质量。</w:t>
      </w:r>
      <w:r>
        <w:rPr>
          <w:rFonts w:hint="default" w:ascii="Times New Roman" w:hAnsi="Times New Roman" w:eastAsia="仿宋_GB2312" w:cs="Times New Roman"/>
          <w:b w:val="0"/>
          <w:bCs w:val="0"/>
          <w:i w:val="0"/>
          <w:spacing w:val="0"/>
          <w:sz w:val="32"/>
          <w:szCs w:val="32"/>
          <w:lang w:val="en-US" w:eastAsia="zh-CN"/>
        </w:rPr>
        <w:t>各系部应组织教师研究如何设计有深度思考内容的课堂互动，尝试小组合作、案例研讨、角色扮演等形式，减少低阶事实性问题的对错回答，增加开放性和分析性问题。教研室可将“互动设计”作为集体备课的重点教研内容。</w:t>
      </w:r>
      <w:r>
        <w:rPr>
          <w:rFonts w:hint="default" w:ascii="Times New Roman" w:hAnsi="Times New Roman" w:eastAsia="仿宋_GB2312" w:cs="Times New Roman"/>
          <w:b/>
          <w:bCs/>
          <w:i w:val="0"/>
          <w:spacing w:val="0"/>
          <w:sz w:val="32"/>
          <w:szCs w:val="32"/>
          <w:lang w:val="en-US" w:eastAsia="zh-CN"/>
        </w:rPr>
        <w:t>【整改单位：各系部】</w:t>
      </w:r>
    </w:p>
    <w:p w14:paraId="0C470448">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3.强化课堂管理，关注学生回应。</w:t>
      </w:r>
      <w:r>
        <w:rPr>
          <w:rFonts w:hint="default" w:ascii="Times New Roman" w:hAnsi="Times New Roman" w:eastAsia="仿宋_GB2312" w:cs="Times New Roman"/>
          <w:b w:val="0"/>
          <w:bCs w:val="0"/>
          <w:i w:val="0"/>
          <w:spacing w:val="0"/>
          <w:sz w:val="32"/>
          <w:szCs w:val="32"/>
          <w:lang w:val="en-US" w:eastAsia="zh-CN"/>
        </w:rPr>
        <w:t>技术公司需优化算法，增加对“低头行为”的细分识别（区分学习性低头与非学习性低头），完成算法升级与测试。各系部应引导教师正确分析AI数据揭示的真实问题，加强对学生听课状态的关注，通过走动管理、任务驱动、即时反馈等方式主动干预、关注回应。同时，教研室应深化持续推进研讨如何通过优化教学设计来提高课堂吸引力，减少学生走神现象。</w:t>
      </w:r>
      <w:r>
        <w:rPr>
          <w:rFonts w:hint="default" w:ascii="Times New Roman" w:hAnsi="Times New Roman" w:eastAsia="仿宋_GB2312" w:cs="Times New Roman"/>
          <w:b/>
          <w:bCs/>
          <w:i w:val="0"/>
          <w:spacing w:val="0"/>
          <w:sz w:val="32"/>
          <w:szCs w:val="32"/>
          <w:lang w:val="en-US" w:eastAsia="zh-CN"/>
        </w:rPr>
        <w:t>【整改单位：技术公司、质量监控评价中心、各系部】</w:t>
      </w:r>
    </w:p>
    <w:p w14:paraId="263CEB9C">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bCs/>
          <w:i w:val="0"/>
          <w:spacing w:val="0"/>
          <w:sz w:val="32"/>
          <w:szCs w:val="32"/>
          <w:lang w:val="en-US" w:eastAsia="zh-CN"/>
        </w:rPr>
        <w:t>4.推广优秀案例，实现经验共享。</w:t>
      </w:r>
      <w:r>
        <w:rPr>
          <w:rFonts w:hint="default" w:ascii="Times New Roman" w:hAnsi="Times New Roman" w:eastAsia="仿宋_GB2312" w:cs="Times New Roman"/>
          <w:b w:val="0"/>
          <w:bCs w:val="0"/>
          <w:i w:val="0"/>
          <w:spacing w:val="0"/>
          <w:sz w:val="32"/>
          <w:szCs w:val="32"/>
          <w:lang w:val="en-US" w:eastAsia="zh-CN"/>
        </w:rPr>
        <w:t>各系部应利用AI数据分析识别系部内教师教学情况，建立“结对帮扶”机制，组织优秀课堂观摩与经验分享。同时，加强系部教研活动的针对性和实效性，将AI数据作为教研讨论的重要依据，可做专项、专题横向数据对比，促进教学良性互争。各系部可定期筛选表现突出的课堂，组织教师进行数据解读与课堂观摩相结合的教研活动，让教师不仅“看到”优秀课堂的样子，更能“读懂”优秀课堂背后的数据逻辑，推动优质教学方法在教师群体中传播应用，以点带面提升整体教学水平。</w:t>
      </w:r>
      <w:r>
        <w:rPr>
          <w:rFonts w:hint="default" w:ascii="Times New Roman" w:hAnsi="Times New Roman" w:eastAsia="仿宋_GB2312" w:cs="Times New Roman"/>
          <w:b/>
          <w:bCs/>
          <w:i w:val="0"/>
          <w:spacing w:val="0"/>
          <w:sz w:val="32"/>
          <w:szCs w:val="32"/>
          <w:lang w:val="en-US" w:eastAsia="zh-CN"/>
        </w:rPr>
        <w:t>【整改单位：各系部、质量监控评价中心】</w:t>
      </w:r>
    </w:p>
    <w:p w14:paraId="68D9E70C">
      <w:pPr>
        <w:pStyle w:val="14"/>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right="0" w:rightChars="0" w:firstLine="640" w:firstLineChars="200"/>
        <w:jc w:val="left"/>
        <w:textAlignment w:val="auto"/>
        <w:rPr>
          <w:rFonts w:hint="default" w:ascii="Times New Roman" w:hAnsi="Times New Roman" w:eastAsia="仿宋_GB2312" w:cs="Times New Roman"/>
          <w:b w:val="0"/>
          <w:bCs w:val="0"/>
          <w:i w:val="0"/>
          <w:spacing w:val="0"/>
          <w:sz w:val="32"/>
          <w:szCs w:val="32"/>
          <w:lang w:val="en-US" w:eastAsia="zh-CN"/>
        </w:rPr>
      </w:pPr>
      <w:r>
        <w:rPr>
          <w:rFonts w:hint="default" w:ascii="Times New Roman" w:hAnsi="Times New Roman" w:eastAsia="仿宋_GB2312" w:cs="Times New Roman"/>
          <w:b w:val="0"/>
          <w:bCs w:val="0"/>
          <w:i w:val="0"/>
          <w:spacing w:val="0"/>
          <w:sz w:val="32"/>
          <w:szCs w:val="32"/>
          <w:lang w:val="en-US" w:eastAsia="zh-CN"/>
        </w:rPr>
        <w:t>AI评教不是给教师“打分排名”，而是帮助教师看见自己看不见的课堂真相。希望各系部、教师以开放心态用好数据，把问题转化为改进的方向。质量监控评价中心将持续优化平台功能，协同技术公司与信息中心，让AI评价真正服务于每一堂课的提质增效。</w:t>
      </w:r>
    </w:p>
    <w:bookmarkEnd w:id="3"/>
    <w:p w14:paraId="502C572D">
      <w:pPr>
        <w:keepLines w:val="0"/>
        <w:pageBreakBefore w:val="0"/>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i w:val="0"/>
          <w:spacing w:val="0"/>
          <w:sz w:val="32"/>
          <w:szCs w:val="32"/>
        </w:rPr>
      </w:pPr>
      <w:bookmarkStart w:id="4" w:name="df90def2-c270-4d8c-8bb9-7ca3186cfd71"/>
      <w:bookmarkStart w:id="6" w:name="_GoBack"/>
      <w:r>
        <w:rPr>
          <w:rFonts w:hint="default" w:ascii="Times New Roman" w:hAnsi="Times New Roman" w:eastAsia="FangSong_GB2312" w:cs="Times New Roman"/>
          <w:snapToGrid w:val="0"/>
          <w:color w:val="000000"/>
          <w:spacing w:val="8"/>
          <w:kern w:val="0"/>
          <w:sz w:val="32"/>
          <w:szCs w:val="32"/>
          <w:lang w:val="en-US" w:eastAsia="zh-CN" w:bidi="ar-SA"/>
        </w:rPr>
        <w:drawing>
          <wp:anchor distT="0" distB="0" distL="114300" distR="114300" simplePos="0" relativeHeight="251661312" behindDoc="1" locked="0" layoutInCell="1" allowOverlap="1">
            <wp:simplePos x="0" y="0"/>
            <wp:positionH relativeFrom="column">
              <wp:posOffset>3576955</wp:posOffset>
            </wp:positionH>
            <wp:positionV relativeFrom="paragraph">
              <wp:posOffset>231775</wp:posOffset>
            </wp:positionV>
            <wp:extent cx="1925955" cy="1925955"/>
            <wp:effectExtent l="0" t="0" r="0" b="0"/>
            <wp:wrapNone/>
            <wp:docPr id="3" name="图片 4" descr="部门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部门公章"/>
                    <pic:cNvPicPr>
                      <a:picLocks noChangeAspect="1"/>
                    </pic:cNvPicPr>
                  </pic:nvPicPr>
                  <pic:blipFill>
                    <a:blip r:embed="rId7"/>
                    <a:stretch>
                      <a:fillRect/>
                    </a:stretch>
                  </pic:blipFill>
                  <pic:spPr>
                    <a:xfrm>
                      <a:off x="0" y="0"/>
                      <a:ext cx="1925955" cy="1925955"/>
                    </a:xfrm>
                    <a:prstGeom prst="rect">
                      <a:avLst/>
                    </a:prstGeom>
                    <a:noFill/>
                    <a:ln>
                      <a:noFill/>
                    </a:ln>
                  </pic:spPr>
                </pic:pic>
              </a:graphicData>
            </a:graphic>
          </wp:anchor>
        </w:drawing>
      </w:r>
      <w:bookmarkEnd w:id="6"/>
    </w:p>
    <w:p w14:paraId="06FCF90D">
      <w:pPr>
        <w:keepLines w:val="0"/>
        <w:pageBreakBefore w:val="0"/>
        <w:overflowPunct/>
        <w:topLinePunct w:val="0"/>
        <w:autoSpaceDE/>
        <w:autoSpaceDN/>
        <w:bidi w:val="0"/>
        <w:adjustRightInd w:val="0"/>
        <w:snapToGrid w:val="0"/>
        <w:spacing w:line="560" w:lineRule="exact"/>
        <w:jc w:val="right"/>
        <w:textAlignment w:val="auto"/>
        <w:rPr>
          <w:rFonts w:hint="eastAsia" w:ascii="仿宋_GB2312" w:hAnsi="仿宋_GB2312" w:eastAsia="仿宋_GB2312" w:cs="仿宋_GB2312"/>
          <w:b w:val="0"/>
          <w:i w:val="0"/>
          <w:spacing w:val="0"/>
          <w:sz w:val="32"/>
          <w:szCs w:val="32"/>
        </w:rPr>
      </w:pPr>
    </w:p>
    <w:p w14:paraId="77160F1B">
      <w:pPr>
        <w:keepLines w:val="0"/>
        <w:pageBreakBefore w:val="0"/>
        <w:overflowPunct/>
        <w:topLinePunct w:val="0"/>
        <w:autoSpaceDE/>
        <w:autoSpaceDN/>
        <w:bidi w:val="0"/>
        <w:adjustRightInd w:val="0"/>
        <w:snapToGrid w:val="0"/>
        <w:spacing w:line="560" w:lineRule="exact"/>
        <w:jc w:val="right"/>
        <w:textAlignment w:val="auto"/>
        <w:rPr>
          <w:rFonts w:hint="default" w:ascii="Times New Roman" w:hAnsi="Times New Roman" w:eastAsia="仿宋_GB2312" w:cs="Times New Roman"/>
          <w:b w:val="0"/>
          <w:i w:val="0"/>
          <w:spacing w:val="0"/>
          <w:sz w:val="32"/>
          <w:szCs w:val="32"/>
        </w:rPr>
      </w:pPr>
      <w:r>
        <w:rPr>
          <w:rFonts w:hint="default" w:ascii="Times New Roman" w:hAnsi="Times New Roman" w:eastAsia="仿宋_GB2312" w:cs="Times New Roman"/>
          <w:b w:val="0"/>
          <w:i w:val="0"/>
          <w:spacing w:val="0"/>
          <w:sz w:val="32"/>
          <w:szCs w:val="32"/>
        </w:rPr>
        <w:t>质量监控评价中心</w:t>
      </w:r>
      <w:bookmarkEnd w:id="4"/>
      <w:bookmarkStart w:id="5" w:name="2134df7d-1875-4e68-8bd7-65b61422562f"/>
    </w:p>
    <w:p w14:paraId="6A77A79E">
      <w:pPr>
        <w:pStyle w:val="13"/>
        <w:keepNext w:val="0"/>
        <w:keepLines w:val="0"/>
        <w:pageBreakBefore w:val="0"/>
        <w:widowControl/>
        <w:kinsoku/>
        <w:wordWrap/>
        <w:overflowPunct/>
        <w:topLinePunct w:val="0"/>
        <w:autoSpaceDE/>
        <w:autoSpaceDN/>
        <w:bidi w:val="0"/>
        <w:adjustRightInd w:val="0"/>
        <w:snapToGrid w:val="0"/>
        <w:spacing w:before="0" w:after="0" w:line="560" w:lineRule="exact"/>
        <w:ind w:left="0" w:leftChars="0" w:right="0" w:firstLine="0" w:firstLineChars="0"/>
        <w:jc w:val="righ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i w:val="0"/>
          <w:spacing w:val="0"/>
          <w:sz w:val="32"/>
          <w:szCs w:val="32"/>
        </w:rPr>
        <w:t>2026年3月</w:t>
      </w:r>
      <w:r>
        <w:rPr>
          <w:rFonts w:hint="default" w:ascii="Times New Roman" w:hAnsi="Times New Roman" w:eastAsia="仿宋_GB2312" w:cs="Times New Roman"/>
          <w:b w:val="0"/>
          <w:i w:val="0"/>
          <w:spacing w:val="0"/>
          <w:sz w:val="32"/>
          <w:szCs w:val="32"/>
          <w:lang w:val="en-US" w:eastAsia="zh-CN"/>
        </w:rPr>
        <w:t>30</w:t>
      </w:r>
      <w:r>
        <w:rPr>
          <w:rFonts w:hint="default" w:ascii="Times New Roman" w:hAnsi="Times New Roman" w:eastAsia="仿宋_GB2312" w:cs="Times New Roman"/>
          <w:b w:val="0"/>
          <w:i w:val="0"/>
          <w:spacing w:val="0"/>
          <w:sz w:val="32"/>
          <w:szCs w:val="32"/>
        </w:rPr>
        <w:t>日</w:t>
      </w:r>
      <w:bookmarkEnd w:id="5"/>
    </w:p>
    <w:sectPr>
      <w:headerReference r:id="rId3" w:type="default"/>
      <w:footerReference r:id="rId4" w:type="default"/>
      <w:pgSz w:w="11900" w:h="16820"/>
      <w:pgMar w:top="1440" w:right="1800" w:bottom="1440" w:left="1800" w:header="840" w:footer="1180" w:gutter="0"/>
      <w:cols w:space="720" w:num="1"/>
      <w:docGrid w:type="linesAndChar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4950E6-3E9D-4514-97BA-832F15110D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楷体_GB2312">
    <w:altName w:val="宋体"/>
    <w:panose1 w:val="02000000000000000000"/>
    <w:charset w:val="86"/>
    <w:family w:val="auto"/>
    <w:pitch w:val="default"/>
    <w:sig w:usb0="00000000" w:usb1="00000000"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embedRegular r:id="rId2" w:fontKey="{7BDC574F-E448-4BD9-9C94-97E6C4C64552}"/>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3" w:fontKey="{E67A2A78-71E8-4014-A29B-6D01D6994F51}"/>
  </w:font>
  <w:font w:name="仿宋_GB2312">
    <w:panose1 w:val="02010609030101010101"/>
    <w:charset w:val="86"/>
    <w:family w:val="auto"/>
    <w:pitch w:val="default"/>
    <w:sig w:usb0="00000001" w:usb1="080E0000" w:usb2="00000000" w:usb3="00000000" w:csb0="00040000" w:csb1="00000000"/>
    <w:embedRegular r:id="rId4" w:fontKey="{B2D04DB6-04DF-4D22-95CB-DB57E9B73245}"/>
  </w:font>
  <w:font w:name="KSOFE8852770">
    <w:panose1 w:val="02010609060101010101"/>
    <w:charset w:val="86"/>
    <w:family w:val="auto"/>
    <w:pitch w:val="default"/>
    <w:sig w:usb0="00000001" w:usb1="00000000" w:usb2="00000000" w:usb3="00000000" w:csb0="00040001" w:csb1="00000000"/>
  </w:font>
  <w:font w:name="FangSong_GB2312">
    <w:altName w:val="仿宋_GB2312"/>
    <w:panose1 w:val="02010609030101010101"/>
    <w:charset w:val="86"/>
    <w:family w:val="auto"/>
    <w:pitch w:val="default"/>
    <w:sig w:usb0="00000000" w:usb1="00000000" w:usb2="00000000" w:usb3="00000000" w:csb0="00040000" w:csb1="00000000"/>
    <w:embedRegular r:id="rId5" w:fontKey="{3DEEFC9C-77EA-4728-AB76-6BDD5851B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EDD9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8C9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isplayHorizontalDrawingGridEvery w:val="1"/>
  <w:displayVerticalDrawingGridEvery w:val="1"/>
  <w:noPunctuationKerning w:val="1"/>
  <w:compat>
    <w:ulTrailSpace/>
    <w:doNotExpandShiftReturn/>
    <w:doNotWrapTextWithPunct/>
    <w:doNotUseEastAsianBreakRules/>
    <w:useFELayout/>
    <w:compatSetting w:name="compatibilityMode" w:uri="http://schemas.microsoft.com/office/word" w:val="15"/>
  </w:compat>
  <w:rsids>
    <w:rsidRoot w:val="00000000"/>
    <w:rsid w:val="0EA76F51"/>
    <w:rsid w:val="10817E99"/>
    <w:rsid w:val="12A81FDF"/>
    <w:rsid w:val="1E3F65C0"/>
    <w:rsid w:val="380E0F8A"/>
    <w:rsid w:val="4E864A1B"/>
    <w:rsid w:val="623D5C13"/>
    <w:rsid w:val="7C2610BE"/>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宋体" w:cs="宋体"/>
      <w:sz w:val="21"/>
      <w:szCs w:val="22"/>
    </w:rPr>
  </w:style>
  <w:style w:type="paragraph" w:styleId="2">
    <w:name w:val="heading 3"/>
    <w:basedOn w:val="1"/>
    <w:next w:val="1"/>
    <w:qFormat/>
    <w:uiPriority w:val="0"/>
    <w:pPr>
      <w:spacing w:before="0" w:beforeAutospacing="1" w:after="0" w:afterAutospacing="1"/>
      <w:jc w:val="left"/>
    </w:pPr>
    <w:rPr>
      <w:rFonts w:hint="eastAsia" w:ascii="宋体" w:hAnsi="宋体" w:eastAsia="宋体" w:cs="宋体"/>
      <w:b/>
      <w:bCs/>
      <w:kern w:val="0"/>
      <w:sz w:val="27"/>
      <w:szCs w:val="27"/>
      <w:lang w:val="en-US" w:eastAsia="zh-CN"/>
    </w:rPr>
  </w:style>
  <w:style w:type="paragraph" w:styleId="3">
    <w:name w:val="heading 4"/>
    <w:basedOn w:val="1"/>
    <w:next w:val="1"/>
    <w:qFormat/>
    <w:uiPriority w:val="0"/>
    <w:pPr>
      <w:spacing w:before="0" w:beforeAutospacing="1" w:after="0" w:afterAutospacing="1"/>
      <w:jc w:val="left"/>
    </w:pPr>
    <w:rPr>
      <w:rFonts w:hint="eastAsia" w:ascii="宋体" w:hAnsi="宋体" w:eastAsia="宋体" w:cs="宋体"/>
      <w:b/>
      <w:bCs/>
      <w:kern w:val="0"/>
      <w:sz w:val="24"/>
      <w:szCs w:val="24"/>
      <w:lang w:val="en-US" w:eastAsia="zh-CN"/>
    </w:rPr>
  </w:style>
  <w:style w:type="character" w:default="1" w:styleId="10">
    <w:name w:val="Default Paragraph Font"/>
    <w:qFormat/>
    <w:uiPriority w:val="0"/>
  </w:style>
  <w:style w:type="table" w:default="1" w:styleId="8">
    <w:name w:val="Normal Table"/>
    <w:qFormat/>
    <w:uiPriority w:val="0"/>
    <w:tblPr>
      <w:tblCellMar>
        <w:top w:w="0" w:type="dxa"/>
        <w:left w:w="108" w:type="dxa"/>
        <w:bottom w:w="0" w:type="dxa"/>
        <w:right w:w="108" w:type="dxa"/>
      </w:tblCellMar>
    </w:tblPr>
  </w:style>
  <w:style w:type="paragraph" w:styleId="4">
    <w:name w:val="Body Text"/>
    <w:basedOn w:val="1"/>
    <w:qFormat/>
    <w:uiPriority w:val="0"/>
    <w:rPr>
      <w:rFonts w:ascii="方正楷体_GB2312" w:hAnsi="方正楷体_GB2312" w:eastAsia="方正楷体_GB2312" w:cs="方正楷体_GB2312"/>
      <w:sz w:val="31"/>
      <w:szCs w:val="31"/>
      <w:lang w:val="en-US" w:eastAsia="en-US" w:bidi="ar-SA"/>
    </w:rPr>
  </w:style>
  <w:style w:type="paragraph" w:styleId="5">
    <w:name w:val="Body Text Indent"/>
    <w:basedOn w:val="1"/>
    <w:qFormat/>
    <w:uiPriority w:val="0"/>
    <w:pPr>
      <w:ind w:left="420" w:leftChars="200"/>
    </w:pPr>
  </w:style>
  <w:style w:type="paragraph" w:styleId="6">
    <w:name w:val="Normal (Web)"/>
    <w:basedOn w:val="1"/>
    <w:qFormat/>
    <w:uiPriority w:val="0"/>
    <w:rPr>
      <w:sz w:val="24"/>
    </w:rPr>
  </w:style>
  <w:style w:type="paragraph" w:styleId="7">
    <w:name w:val="Body Text First Indent 2"/>
    <w:basedOn w:val="5"/>
    <w:qFormat/>
    <w:uiPriority w:val="0"/>
    <w:pPr>
      <w:spacing w:line="500" w:lineRule="exact"/>
      <w:ind w:firstLine="0" w:firstLineChars="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全文一级大标题"/>
    <w:qFormat/>
    <w:uiPriority w:val="1"/>
    <w:pPr>
      <w:spacing w:line="360" w:lineRule="auto"/>
      <w:ind w:left="0" w:right="0"/>
      <w:jc w:val="center"/>
    </w:pPr>
    <w:rPr>
      <w:rFonts w:ascii="Times New Roman" w:hAnsi="等线" w:eastAsia="黑体" w:cs="宋体"/>
      <w:sz w:val="44"/>
      <w:szCs w:val="22"/>
    </w:rPr>
  </w:style>
  <w:style w:type="paragraph" w:customStyle="1" w:styleId="13">
    <w:name w:val="正文 文本"/>
    <w:qFormat/>
    <w:uiPriority w:val="1"/>
    <w:pPr>
      <w:spacing w:line="240" w:lineRule="auto"/>
      <w:ind w:left="0" w:right="0" w:firstLine="640"/>
      <w:jc w:val="left"/>
    </w:pPr>
    <w:rPr>
      <w:rFonts w:ascii="方正仿宋_GB2312" w:hAnsi="等线" w:eastAsia="宋体" w:cs="宋体"/>
      <w:sz w:val="32"/>
      <w:szCs w:val="22"/>
    </w:rPr>
  </w:style>
  <w:style w:type="paragraph" w:customStyle="1" w:styleId="14">
    <w:name w:val="正文一级标题"/>
    <w:qFormat/>
    <w:uiPriority w:val="1"/>
    <w:pPr>
      <w:spacing w:line="240" w:lineRule="auto"/>
      <w:ind w:left="0" w:right="0" w:firstLine="640"/>
      <w:jc w:val="both"/>
    </w:pPr>
    <w:rPr>
      <w:rFonts w:ascii="宋体" w:hAnsi="等线" w:eastAsia="宋体" w:cs="宋体"/>
      <w:b/>
      <w:sz w:val="32"/>
      <w:szCs w:val="22"/>
    </w:rPr>
  </w:style>
  <w:style w:type="paragraph" w:customStyle="1" w:styleId="15">
    <w:name w:val="正文二级标题"/>
    <w:qFormat/>
    <w:uiPriority w:val="1"/>
    <w:pPr>
      <w:spacing w:line="240" w:lineRule="auto"/>
      <w:ind w:left="0" w:right="0" w:firstLine="640"/>
      <w:jc w:val="both"/>
    </w:pPr>
    <w:rPr>
      <w:rFonts w:ascii="宋体" w:hAnsi="等线" w:eastAsia="宋体" w:cs="宋体"/>
      <w:b/>
      <w:sz w:val="32"/>
      <w:szCs w:val="22"/>
    </w:rPr>
  </w:style>
  <w:style w:type="paragraph" w:customStyle="1" w:styleId="16">
    <w:name w:val="落款或署名"/>
    <w:qFormat/>
    <w:uiPriority w:val="1"/>
    <w:pPr>
      <w:spacing w:line="240" w:lineRule="auto"/>
      <w:ind w:left="0" w:right="0"/>
      <w:jc w:val="right"/>
    </w:pPr>
    <w:rPr>
      <w:rFonts w:ascii="宋体" w:hAnsi="等线" w:eastAsia="宋体" w:cs="宋体"/>
      <w:sz w:val="32"/>
      <w:szCs w:val="22"/>
    </w:rPr>
  </w:style>
  <w:style w:type="paragraph" w:customStyle="1" w:styleId="17">
    <w:name w:val="日期或时间"/>
    <w:qFormat/>
    <w:uiPriority w:val="1"/>
    <w:pPr>
      <w:spacing w:line="240" w:lineRule="auto"/>
      <w:ind w:left="0" w:right="0"/>
      <w:jc w:val="right"/>
    </w:pPr>
    <w:rPr>
      <w:rFonts w:ascii="宋体" w:hAnsi="等线" w:eastAsia="宋体" w:cs="宋体"/>
      <w:sz w:val="32"/>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3012</Words>
  <Characters>3142</Characters>
  <Paragraphs>93</Paragraphs>
  <TotalTime>0</TotalTime>
  <ScaleCrop>false</ScaleCrop>
  <LinksUpToDate>false</LinksUpToDate>
  <CharactersWithSpaces>3144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2025-11-06T12:59:00Z</dcterms:created>
  <dc:creator>Apache POI</dc:creator>
  <cp:lastModifiedBy>七月初</cp:lastModifiedBy>
  <cp:lastPrinted>2026-03-26T15:41:00Z</cp:lastPrinted>
  <dcterms:modified xsi:type="dcterms:W3CDTF">2026-04-23T07:09:03Z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ContentPropagator":"001191440101MA9Y9T4H7A00000","Label":"1","ReservedCode1":"okX7inx7AXck8qNdi4DFTz3shjLLOZOwuGUzZBA+u34=","ProduceID":"doc_sgs:6d6a06d4-219e-4c22-8ebf-840e0440fc5c","ReservedCode2":"okX7inx7AXck8qNdi4DFTz3shjLLOZOwuGUzZBA+u34=","PropagateID":"doc_sgs:6d6a06d4-219e-4c22-8ebf-840e0440fc5c","ContentProducer":"001191440101MA9Y9T4H7A00000"}</vt:lpwstr>
  </property>
  <property fmtid="{D5CDD505-2E9C-101B-9397-08002B2CF9AE}" pid="3" name="KSOTemplateDocerSaveRecord">
    <vt:lpwstr>eyJoZGlkIjoiNmVkZjJiMjFjOTA2ZDk2YTQ1ODZhMzc2ZWU4NjExY2UiLCJ1c2VySWQiOiI2NjE3MTk1NTEifQ==</vt:lpwstr>
  </property>
  <property fmtid="{D5CDD505-2E9C-101B-9397-08002B2CF9AE}" pid="4" name="KSOProductBuildVer">
    <vt:lpwstr>2052-12.1.0.25225</vt:lpwstr>
  </property>
  <property fmtid="{D5CDD505-2E9C-101B-9397-08002B2CF9AE}" pid="5" name="ICV">
    <vt:lpwstr>14D9BCE867F843AC863F75DA04F6F843_13</vt:lpwstr>
  </property>
</Properties>
</file>